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4683" w:type="pct"/>
        <w:tblInd w:w="817" w:type="dxa"/>
        <w:tblLayout w:type="fixed"/>
        <w:tblLook w:val="04A0" w:firstRow="1" w:lastRow="0" w:firstColumn="1" w:lastColumn="0" w:noHBand="0" w:noVBand="1"/>
      </w:tblPr>
      <w:tblGrid>
        <w:gridCol w:w="896"/>
        <w:gridCol w:w="1663"/>
        <w:gridCol w:w="5885"/>
      </w:tblGrid>
      <w:tr w:rsidR="009422B9" w:rsidRPr="004574B2" w:rsidTr="00122E97">
        <w:trPr>
          <w:trHeight w:val="20"/>
        </w:trPr>
        <w:tc>
          <w:tcPr>
            <w:tcW w:w="530" w:type="pct"/>
            <w:shd w:val="clear" w:color="auto" w:fill="002060"/>
            <w:vAlign w:val="center"/>
          </w:tcPr>
          <w:p w:rsidR="009422B9" w:rsidRPr="004574B2" w:rsidRDefault="009422B9" w:rsidP="00122E97">
            <w:pPr>
              <w:spacing w:line="360" w:lineRule="auto"/>
              <w:rPr>
                <w:rFonts w:asciiTheme="minorHAnsi" w:hAnsiTheme="minorHAnsi" w:cstheme="minorHAnsi"/>
                <w:b/>
                <w:color w:val="FFFFFF"/>
                <w:sz w:val="22"/>
                <w:szCs w:val="22"/>
              </w:rPr>
            </w:pPr>
            <w:r>
              <w:rPr>
                <w:rFonts w:asciiTheme="minorHAnsi" w:hAnsiTheme="minorHAnsi" w:cstheme="minorHAnsi"/>
                <w:b/>
                <w:color w:val="FFFFFF"/>
                <w:sz w:val="22"/>
                <w:szCs w:val="22"/>
              </w:rPr>
              <w:t>S</w:t>
            </w:r>
            <w:r w:rsidRPr="004574B2">
              <w:rPr>
                <w:rFonts w:asciiTheme="minorHAnsi" w:hAnsiTheme="minorHAnsi" w:cstheme="minorHAnsi"/>
                <w:b/>
                <w:color w:val="FFFFFF"/>
                <w:sz w:val="22"/>
                <w:szCs w:val="22"/>
              </w:rPr>
              <w:t>. No.</w:t>
            </w:r>
          </w:p>
        </w:tc>
        <w:tc>
          <w:tcPr>
            <w:tcW w:w="985" w:type="pct"/>
            <w:shd w:val="clear" w:color="auto" w:fill="002060"/>
            <w:vAlign w:val="center"/>
          </w:tcPr>
          <w:p w:rsidR="009422B9" w:rsidRPr="004574B2" w:rsidRDefault="009422B9" w:rsidP="00122E97">
            <w:pPr>
              <w:spacing w:line="360" w:lineRule="auto"/>
              <w:rPr>
                <w:rFonts w:asciiTheme="minorHAnsi" w:hAnsiTheme="minorHAnsi" w:cstheme="minorHAnsi"/>
                <w:b/>
                <w:color w:val="FFFFFF"/>
                <w:sz w:val="22"/>
                <w:szCs w:val="22"/>
              </w:rPr>
            </w:pPr>
            <w:r w:rsidRPr="004574B2">
              <w:rPr>
                <w:rFonts w:asciiTheme="minorHAnsi" w:hAnsiTheme="minorHAnsi" w:cstheme="minorHAnsi"/>
                <w:b/>
                <w:color w:val="FFFFFF"/>
                <w:sz w:val="22"/>
                <w:szCs w:val="22"/>
              </w:rPr>
              <w:t>Item</w:t>
            </w:r>
          </w:p>
        </w:tc>
        <w:tc>
          <w:tcPr>
            <w:tcW w:w="3485" w:type="pct"/>
            <w:shd w:val="clear" w:color="auto" w:fill="002060"/>
            <w:vAlign w:val="center"/>
          </w:tcPr>
          <w:p w:rsidR="009422B9" w:rsidRPr="004574B2" w:rsidRDefault="009422B9" w:rsidP="00122E97">
            <w:pPr>
              <w:spacing w:line="360" w:lineRule="auto"/>
              <w:jc w:val="center"/>
              <w:rPr>
                <w:rFonts w:asciiTheme="minorHAnsi" w:hAnsiTheme="minorHAnsi" w:cstheme="minorHAnsi"/>
                <w:b/>
                <w:color w:val="FFFFFF"/>
                <w:sz w:val="22"/>
                <w:szCs w:val="22"/>
              </w:rPr>
            </w:pPr>
            <w:r w:rsidRPr="004574B2">
              <w:rPr>
                <w:rFonts w:asciiTheme="minorHAnsi" w:hAnsiTheme="minorHAnsi" w:cstheme="minorHAnsi"/>
                <w:b/>
                <w:color w:val="FFFFFF"/>
                <w:sz w:val="22"/>
                <w:szCs w:val="22"/>
              </w:rPr>
              <w:t>Assumptions and Basis</w:t>
            </w:r>
          </w:p>
        </w:tc>
      </w:tr>
      <w:tr w:rsidR="009422B9" w:rsidRPr="004574B2" w:rsidTr="00122E97">
        <w:trPr>
          <w:trHeight w:val="6662"/>
        </w:trPr>
        <w:tc>
          <w:tcPr>
            <w:tcW w:w="530" w:type="pct"/>
            <w:shd w:val="clear" w:color="auto" w:fill="auto"/>
            <w:vAlign w:val="center"/>
          </w:tcPr>
          <w:p w:rsidR="009422B9" w:rsidRPr="004574B2" w:rsidRDefault="009422B9" w:rsidP="009422B9">
            <w:pPr>
              <w:pStyle w:val="ListParagraph"/>
              <w:numPr>
                <w:ilvl w:val="0"/>
                <w:numId w:val="1"/>
              </w:numPr>
              <w:spacing w:after="160" w:line="360" w:lineRule="auto"/>
              <w:jc w:val="center"/>
              <w:rPr>
                <w:rFonts w:asciiTheme="minorHAnsi" w:hAnsiTheme="minorHAnsi" w:cstheme="minorHAnsi"/>
                <w:b/>
                <w:bCs/>
                <w:sz w:val="22"/>
                <w:szCs w:val="22"/>
              </w:rPr>
            </w:pPr>
          </w:p>
        </w:tc>
        <w:tc>
          <w:tcPr>
            <w:tcW w:w="985" w:type="pct"/>
            <w:shd w:val="clear" w:color="auto" w:fill="auto"/>
            <w:vAlign w:val="center"/>
          </w:tcPr>
          <w:p w:rsidR="009422B9" w:rsidRPr="00264751" w:rsidRDefault="009422B9" w:rsidP="00122E97">
            <w:pPr>
              <w:spacing w:line="360" w:lineRule="auto"/>
              <w:rPr>
                <w:rFonts w:asciiTheme="minorHAnsi" w:hAnsiTheme="minorHAnsi" w:cstheme="minorHAnsi"/>
                <w:sz w:val="22"/>
                <w:szCs w:val="22"/>
              </w:rPr>
            </w:pPr>
            <w:r w:rsidRPr="004574B2">
              <w:rPr>
                <w:rFonts w:asciiTheme="minorHAnsi" w:hAnsiTheme="minorHAnsi" w:cstheme="minorHAnsi"/>
                <w:b/>
                <w:bCs/>
                <w:sz w:val="22"/>
                <w:szCs w:val="22"/>
              </w:rPr>
              <w:t>General</w:t>
            </w:r>
          </w:p>
        </w:tc>
        <w:tc>
          <w:tcPr>
            <w:tcW w:w="3485" w:type="pct"/>
            <w:shd w:val="clear" w:color="auto" w:fill="auto"/>
          </w:tcPr>
          <w:p w:rsidR="009422B9" w:rsidRDefault="009422B9" w:rsidP="009422B9">
            <w:pPr>
              <w:pStyle w:val="ListParagraph"/>
              <w:numPr>
                <w:ilvl w:val="1"/>
                <w:numId w:val="1"/>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t xml:space="preserve">M/s Sai </w:t>
            </w:r>
            <w:proofErr w:type="spellStart"/>
            <w:r>
              <w:rPr>
                <w:rFonts w:asciiTheme="minorHAnsi" w:hAnsiTheme="minorHAnsi" w:cstheme="minorHAnsi"/>
                <w:sz w:val="22"/>
                <w:szCs w:val="22"/>
              </w:rPr>
              <w:t>Infinium</w:t>
            </w:r>
            <w:proofErr w:type="spellEnd"/>
            <w:r>
              <w:rPr>
                <w:rFonts w:asciiTheme="minorHAnsi" w:hAnsiTheme="minorHAnsi" w:cstheme="minorHAnsi"/>
                <w:sz w:val="22"/>
                <w:szCs w:val="22"/>
              </w:rPr>
              <w:t xml:space="preserve"> Ltd. has proposed to setup this captive and open access 17.40 MW Wind-Solar Hybrid power plant for the purpose of electricity cost cutting in its existing operation.</w:t>
            </w:r>
          </w:p>
          <w:p w:rsidR="009422B9" w:rsidRPr="00381E8A" w:rsidRDefault="009422B9" w:rsidP="009422B9">
            <w:pPr>
              <w:pStyle w:val="ListParagraph"/>
              <w:numPr>
                <w:ilvl w:val="1"/>
                <w:numId w:val="1"/>
              </w:numPr>
              <w:spacing w:before="240" w:line="360" w:lineRule="auto"/>
              <w:ind w:left="333"/>
              <w:jc w:val="both"/>
              <w:rPr>
                <w:rFonts w:asciiTheme="minorHAnsi" w:hAnsiTheme="minorHAnsi" w:cstheme="minorHAnsi"/>
                <w:sz w:val="22"/>
                <w:szCs w:val="22"/>
              </w:rPr>
            </w:pPr>
            <w:r w:rsidRPr="00AA057B">
              <w:rPr>
                <w:rFonts w:asciiTheme="minorHAnsi" w:hAnsiTheme="minorHAnsi" w:cstheme="minorHAnsi"/>
                <w:sz w:val="22"/>
                <w:szCs w:val="22"/>
              </w:rPr>
              <w:t xml:space="preserve">The projections of </w:t>
            </w:r>
            <w:r>
              <w:rPr>
                <w:rFonts w:asciiTheme="minorHAnsi" w:hAnsiTheme="minorHAnsi" w:cstheme="minorHAnsi"/>
                <w:sz w:val="22"/>
                <w:szCs w:val="22"/>
              </w:rPr>
              <w:t xml:space="preserve">M/s Sai </w:t>
            </w:r>
            <w:proofErr w:type="spellStart"/>
            <w:r>
              <w:rPr>
                <w:rFonts w:asciiTheme="minorHAnsi" w:hAnsiTheme="minorHAnsi" w:cstheme="minorHAnsi"/>
                <w:sz w:val="22"/>
                <w:szCs w:val="22"/>
              </w:rPr>
              <w:t>Infinium</w:t>
            </w:r>
            <w:proofErr w:type="spellEnd"/>
            <w:r>
              <w:rPr>
                <w:rFonts w:asciiTheme="minorHAnsi" w:hAnsiTheme="minorHAnsi" w:cstheme="minorHAnsi"/>
                <w:sz w:val="22"/>
                <w:szCs w:val="22"/>
              </w:rPr>
              <w:t xml:space="preserve"> Ltd. are done considering the CAPEX of </w:t>
            </w:r>
            <w:r w:rsidRPr="00AA057B">
              <w:rPr>
                <w:rFonts w:asciiTheme="minorHAnsi" w:hAnsiTheme="minorHAnsi" w:cstheme="minorHAnsi"/>
                <w:sz w:val="22"/>
                <w:szCs w:val="22"/>
              </w:rPr>
              <w:t xml:space="preserve">the </w:t>
            </w:r>
            <w:r>
              <w:rPr>
                <w:rFonts w:asciiTheme="minorHAnsi" w:hAnsiTheme="minorHAnsi" w:cstheme="minorHAnsi"/>
                <w:sz w:val="22"/>
                <w:szCs w:val="22"/>
              </w:rPr>
              <w:t xml:space="preserve">proposed captive hybrid wind-solar power plant </w:t>
            </w:r>
            <w:r w:rsidRPr="00381E8A">
              <w:rPr>
                <w:rFonts w:asciiTheme="minorHAnsi" w:hAnsiTheme="minorHAnsi" w:cstheme="minorHAnsi"/>
                <w:sz w:val="22"/>
                <w:szCs w:val="22"/>
              </w:rPr>
              <w:t>for the period from</w:t>
            </w:r>
            <w:r>
              <w:rPr>
                <w:rFonts w:asciiTheme="minorHAnsi" w:hAnsiTheme="minorHAnsi" w:cstheme="minorHAnsi"/>
                <w:sz w:val="22"/>
                <w:szCs w:val="22"/>
              </w:rPr>
              <w:t xml:space="preserve"> </w:t>
            </w:r>
            <w:r w:rsidRPr="00AA057B">
              <w:rPr>
                <w:rFonts w:asciiTheme="minorHAnsi" w:hAnsiTheme="minorHAnsi" w:cstheme="minorHAnsi"/>
                <w:sz w:val="22"/>
                <w:szCs w:val="22"/>
              </w:rPr>
              <w:t xml:space="preserve">FY </w:t>
            </w:r>
            <w:r>
              <w:rPr>
                <w:rFonts w:asciiTheme="minorHAnsi" w:hAnsiTheme="minorHAnsi" w:cstheme="minorHAnsi"/>
                <w:sz w:val="22"/>
                <w:szCs w:val="22"/>
              </w:rPr>
              <w:t>2025</w:t>
            </w:r>
            <w:r w:rsidRPr="00AA057B">
              <w:rPr>
                <w:rFonts w:asciiTheme="minorHAnsi" w:hAnsiTheme="minorHAnsi" w:cstheme="minorHAnsi"/>
                <w:sz w:val="22"/>
                <w:szCs w:val="22"/>
              </w:rPr>
              <w:t xml:space="preserve"> to FY 20</w:t>
            </w:r>
            <w:r>
              <w:rPr>
                <w:rFonts w:asciiTheme="minorHAnsi" w:hAnsiTheme="minorHAnsi" w:cstheme="minorHAnsi"/>
                <w:sz w:val="22"/>
                <w:szCs w:val="22"/>
              </w:rPr>
              <w:t>35</w:t>
            </w:r>
            <w:r w:rsidRPr="00AA057B">
              <w:rPr>
                <w:rFonts w:asciiTheme="minorHAnsi" w:hAnsiTheme="minorHAnsi" w:cstheme="minorHAnsi"/>
                <w:sz w:val="22"/>
                <w:szCs w:val="22"/>
              </w:rPr>
              <w:t xml:space="preserve">, </w:t>
            </w:r>
            <w:r>
              <w:rPr>
                <w:rFonts w:asciiTheme="minorHAnsi" w:hAnsiTheme="minorHAnsi" w:cstheme="minorHAnsi"/>
                <w:sz w:val="22"/>
                <w:szCs w:val="22"/>
              </w:rPr>
              <w:t xml:space="preserve">~11 years, </w:t>
            </w:r>
            <w:r w:rsidRPr="00AA057B">
              <w:rPr>
                <w:rFonts w:asciiTheme="minorHAnsi" w:hAnsiTheme="minorHAnsi" w:cstheme="minorHAnsi"/>
                <w:sz w:val="22"/>
                <w:szCs w:val="22"/>
              </w:rPr>
              <w:t xml:space="preserve">as per the industry best practices. It is assumed that the </w:t>
            </w:r>
            <w:r>
              <w:rPr>
                <w:rFonts w:asciiTheme="minorHAnsi" w:hAnsiTheme="minorHAnsi" w:cstheme="minorHAnsi"/>
                <w:sz w:val="22"/>
                <w:szCs w:val="22"/>
              </w:rPr>
              <w:t xml:space="preserve">proposed power </w:t>
            </w:r>
            <w:r w:rsidRPr="00AA057B">
              <w:rPr>
                <w:rFonts w:asciiTheme="minorHAnsi" w:hAnsiTheme="minorHAnsi" w:cstheme="minorHAnsi"/>
                <w:sz w:val="22"/>
                <w:szCs w:val="22"/>
              </w:rPr>
              <w:t>plant will be achieving COD on 1</w:t>
            </w:r>
            <w:r w:rsidRPr="00AA057B">
              <w:rPr>
                <w:rFonts w:asciiTheme="minorHAnsi" w:hAnsiTheme="minorHAnsi" w:cstheme="minorHAnsi"/>
                <w:sz w:val="22"/>
                <w:szCs w:val="22"/>
                <w:vertAlign w:val="superscript"/>
              </w:rPr>
              <w:t>st</w:t>
            </w:r>
            <w:r w:rsidRPr="00AA057B">
              <w:rPr>
                <w:rFonts w:asciiTheme="minorHAnsi" w:hAnsiTheme="minorHAnsi" w:cstheme="minorHAnsi"/>
                <w:sz w:val="22"/>
                <w:szCs w:val="22"/>
              </w:rPr>
              <w:t xml:space="preserve"> </w:t>
            </w:r>
            <w:r>
              <w:rPr>
                <w:rFonts w:asciiTheme="minorHAnsi" w:hAnsiTheme="minorHAnsi" w:cstheme="minorHAnsi"/>
                <w:sz w:val="22"/>
                <w:szCs w:val="22"/>
              </w:rPr>
              <w:t>October</w:t>
            </w:r>
            <w:r w:rsidRPr="00AA057B">
              <w:rPr>
                <w:rFonts w:asciiTheme="minorHAnsi" w:hAnsiTheme="minorHAnsi" w:cstheme="minorHAnsi"/>
                <w:sz w:val="22"/>
                <w:szCs w:val="22"/>
              </w:rPr>
              <w:t xml:space="preserve"> 202</w:t>
            </w:r>
            <w:r>
              <w:rPr>
                <w:rFonts w:asciiTheme="minorHAnsi" w:hAnsiTheme="minorHAnsi" w:cstheme="minorHAnsi"/>
                <w:sz w:val="22"/>
                <w:szCs w:val="22"/>
              </w:rPr>
              <w:t>5</w:t>
            </w:r>
            <w:r w:rsidRPr="00AA057B">
              <w:rPr>
                <w:rFonts w:asciiTheme="minorHAnsi" w:hAnsiTheme="minorHAnsi" w:cstheme="minorHAnsi"/>
                <w:sz w:val="22"/>
                <w:szCs w:val="22"/>
              </w:rPr>
              <w:t>.</w:t>
            </w:r>
          </w:p>
          <w:p w:rsidR="009422B9" w:rsidRPr="00AA057B" w:rsidRDefault="009422B9" w:rsidP="009422B9">
            <w:pPr>
              <w:pStyle w:val="ListParagraph"/>
              <w:numPr>
                <w:ilvl w:val="1"/>
                <w:numId w:val="1"/>
              </w:numPr>
              <w:spacing w:before="240" w:line="360" w:lineRule="auto"/>
              <w:ind w:left="333"/>
              <w:jc w:val="both"/>
              <w:rPr>
                <w:rFonts w:asciiTheme="minorHAnsi" w:hAnsiTheme="minorHAnsi" w:cstheme="minorHAnsi"/>
                <w:sz w:val="22"/>
                <w:szCs w:val="22"/>
              </w:rPr>
            </w:pPr>
            <w:r w:rsidRPr="00AA057B">
              <w:rPr>
                <w:rFonts w:asciiTheme="minorHAnsi" w:hAnsiTheme="minorHAnsi" w:cstheme="minorHAnsi"/>
                <w:sz w:val="22"/>
                <w:szCs w:val="22"/>
              </w:rPr>
              <w:t>We have considered both Revenue &amp; cost based model (top to bottom approach) while making the future financial projections.</w:t>
            </w:r>
          </w:p>
          <w:p w:rsidR="009422B9" w:rsidRDefault="009422B9" w:rsidP="009422B9">
            <w:pPr>
              <w:pStyle w:val="ListParagraph"/>
              <w:numPr>
                <w:ilvl w:val="1"/>
                <w:numId w:val="1"/>
              </w:numPr>
              <w:spacing w:before="240" w:line="360" w:lineRule="auto"/>
              <w:ind w:left="333"/>
              <w:jc w:val="both"/>
              <w:rPr>
                <w:rFonts w:asciiTheme="minorHAnsi" w:hAnsiTheme="minorHAnsi" w:cstheme="minorHAnsi"/>
                <w:sz w:val="22"/>
                <w:szCs w:val="22"/>
              </w:rPr>
            </w:pPr>
            <w:r w:rsidRPr="00AA057B">
              <w:rPr>
                <w:rFonts w:asciiTheme="minorHAnsi" w:hAnsiTheme="minorHAnsi" w:cstheme="minorHAnsi"/>
                <w:sz w:val="22"/>
                <w:szCs w:val="22"/>
              </w:rPr>
              <w:t xml:space="preserve">Revenue </w:t>
            </w:r>
            <w:r>
              <w:rPr>
                <w:rFonts w:asciiTheme="minorHAnsi" w:hAnsiTheme="minorHAnsi" w:cstheme="minorHAnsi"/>
                <w:sz w:val="22"/>
                <w:szCs w:val="22"/>
              </w:rPr>
              <w:t xml:space="preserve">and </w:t>
            </w:r>
            <w:r w:rsidRPr="00AA057B">
              <w:rPr>
                <w:rFonts w:asciiTheme="minorHAnsi" w:hAnsiTheme="minorHAnsi" w:cstheme="minorHAnsi"/>
                <w:sz w:val="22"/>
                <w:szCs w:val="22"/>
              </w:rPr>
              <w:t xml:space="preserve">Expense modelling has been done based on </w:t>
            </w:r>
            <w:r>
              <w:rPr>
                <w:rFonts w:asciiTheme="minorHAnsi" w:hAnsiTheme="minorHAnsi" w:cstheme="minorHAnsi"/>
                <w:sz w:val="22"/>
                <w:szCs w:val="22"/>
              </w:rPr>
              <w:t xml:space="preserve">the historical trends and projected capacity utilization of the Steel Plant/TMT Bar plant of Sai </w:t>
            </w:r>
            <w:proofErr w:type="spellStart"/>
            <w:r>
              <w:rPr>
                <w:rFonts w:asciiTheme="minorHAnsi" w:hAnsiTheme="minorHAnsi" w:cstheme="minorHAnsi"/>
                <w:sz w:val="22"/>
                <w:szCs w:val="22"/>
              </w:rPr>
              <w:t>Infinium</w:t>
            </w:r>
            <w:proofErr w:type="spellEnd"/>
            <w:r>
              <w:rPr>
                <w:rFonts w:asciiTheme="minorHAnsi" w:hAnsiTheme="minorHAnsi" w:cstheme="minorHAnsi"/>
                <w:sz w:val="22"/>
                <w:szCs w:val="22"/>
              </w:rPr>
              <w:t>.</w:t>
            </w:r>
          </w:p>
          <w:p w:rsidR="009422B9" w:rsidRPr="00467117" w:rsidRDefault="009422B9" w:rsidP="009422B9">
            <w:pPr>
              <w:pStyle w:val="ListParagraph"/>
              <w:numPr>
                <w:ilvl w:val="1"/>
                <w:numId w:val="1"/>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t xml:space="preserve">Currently Sai </w:t>
            </w:r>
            <w:proofErr w:type="spellStart"/>
            <w:r>
              <w:rPr>
                <w:rFonts w:asciiTheme="minorHAnsi" w:hAnsiTheme="minorHAnsi" w:cstheme="minorHAnsi"/>
                <w:sz w:val="22"/>
                <w:szCs w:val="22"/>
              </w:rPr>
              <w:t>Infinium</w:t>
            </w:r>
            <w:proofErr w:type="spellEnd"/>
            <w:r>
              <w:rPr>
                <w:rFonts w:asciiTheme="minorHAnsi" w:hAnsiTheme="minorHAnsi" w:cstheme="minorHAnsi"/>
                <w:sz w:val="22"/>
                <w:szCs w:val="22"/>
              </w:rPr>
              <w:t xml:space="preserve"> is operating its steel plant in a single shift of 8 hours a day for 360 days.</w:t>
            </w:r>
          </w:p>
        </w:tc>
      </w:tr>
      <w:tr w:rsidR="009422B9" w:rsidRPr="004574B2" w:rsidTr="00122E97">
        <w:trPr>
          <w:trHeight w:val="1906"/>
        </w:trPr>
        <w:tc>
          <w:tcPr>
            <w:tcW w:w="530" w:type="pct"/>
            <w:shd w:val="clear" w:color="auto" w:fill="auto"/>
            <w:vAlign w:val="center"/>
          </w:tcPr>
          <w:p w:rsidR="009422B9" w:rsidRPr="004574B2" w:rsidRDefault="009422B9" w:rsidP="009422B9">
            <w:pPr>
              <w:pStyle w:val="ListParagraph"/>
              <w:numPr>
                <w:ilvl w:val="0"/>
                <w:numId w:val="1"/>
              </w:numPr>
              <w:spacing w:after="160" w:line="360" w:lineRule="auto"/>
              <w:jc w:val="center"/>
              <w:rPr>
                <w:rFonts w:asciiTheme="minorHAnsi" w:hAnsiTheme="minorHAnsi" w:cstheme="minorHAnsi"/>
                <w:b/>
                <w:bCs/>
                <w:sz w:val="22"/>
                <w:szCs w:val="22"/>
              </w:rPr>
            </w:pPr>
          </w:p>
        </w:tc>
        <w:tc>
          <w:tcPr>
            <w:tcW w:w="985" w:type="pct"/>
            <w:shd w:val="clear" w:color="auto" w:fill="auto"/>
            <w:vAlign w:val="center"/>
          </w:tcPr>
          <w:p w:rsidR="009422B9" w:rsidRPr="004574B2" w:rsidRDefault="009422B9" w:rsidP="00122E97">
            <w:pPr>
              <w:spacing w:line="360" w:lineRule="auto"/>
              <w:rPr>
                <w:rFonts w:asciiTheme="minorHAnsi" w:hAnsiTheme="minorHAnsi" w:cstheme="minorHAnsi"/>
                <w:b/>
                <w:bCs/>
                <w:sz w:val="22"/>
                <w:szCs w:val="22"/>
              </w:rPr>
            </w:pPr>
            <w:r w:rsidRPr="004574B2">
              <w:rPr>
                <w:rFonts w:asciiTheme="minorHAnsi" w:hAnsiTheme="minorHAnsi" w:cstheme="minorHAnsi"/>
                <w:b/>
                <w:bCs/>
                <w:sz w:val="22"/>
                <w:szCs w:val="22"/>
              </w:rPr>
              <w:t>Revenue Build up</w:t>
            </w:r>
          </w:p>
        </w:tc>
        <w:tc>
          <w:tcPr>
            <w:tcW w:w="3485" w:type="pct"/>
            <w:shd w:val="clear" w:color="auto" w:fill="auto"/>
          </w:tcPr>
          <w:p w:rsidR="009422B9" w:rsidRPr="00DD49A6"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sidRPr="00DD49A6">
              <w:rPr>
                <w:rFonts w:asciiTheme="minorHAnsi" w:hAnsiTheme="minorHAnsi" w:cstheme="minorHAnsi"/>
                <w:sz w:val="22"/>
                <w:szCs w:val="22"/>
              </w:rPr>
              <w:t>As per the data/information provided by the client, Company is generating the revenue from selling of TMT Bars, Ship breaking activity and Real Estate activity.</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Company is expected to generate a projected revenue of INR 46,359 lakhs in FY 2026 @ current capacity utilization of 85% from TMT Bar division, which is expected to increase up to INR 49,086.00 lakhs @ 90% capacity utilization in FY 2035.</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 xml:space="preserve">Further, Company is expected to generate a projected revenue of INR 5500 lakhs in FY 2026 from ship breaking activity, which is expected to escalate by 2% as informed by </w:t>
            </w:r>
            <w:r>
              <w:rPr>
                <w:rFonts w:asciiTheme="minorHAnsi" w:hAnsiTheme="minorHAnsi" w:cstheme="minorHAnsi"/>
                <w:sz w:val="22"/>
                <w:szCs w:val="22"/>
              </w:rPr>
              <w:lastRenderedPageBreak/>
              <w:t xml:space="preserve">the management and increase up to INR 6573.01 lakhs in FY 2035. </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Similarly, Company is expected to generate a projected revenue of INR 259.98 lakhs in FY 2026 from Real Estate Activity, which is expected to escalate by 2% as informed by the management and increase up to INR 310.70 lakhs @ 90% capacity utilization in FY 2035.</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 xml:space="preserve">Thus, M/s Sai </w:t>
            </w:r>
            <w:proofErr w:type="spellStart"/>
            <w:r>
              <w:rPr>
                <w:rFonts w:asciiTheme="minorHAnsi" w:hAnsiTheme="minorHAnsi" w:cstheme="minorHAnsi"/>
                <w:sz w:val="22"/>
                <w:szCs w:val="22"/>
              </w:rPr>
              <w:t>Infinium</w:t>
            </w:r>
            <w:proofErr w:type="spellEnd"/>
            <w:r>
              <w:rPr>
                <w:rFonts w:asciiTheme="minorHAnsi" w:hAnsiTheme="minorHAnsi" w:cstheme="minorHAnsi"/>
                <w:sz w:val="22"/>
                <w:szCs w:val="22"/>
              </w:rPr>
              <w:t xml:space="preserve"> Limited will be generating a gross revenue of INR 52118.98 lakhs in FY 2026, which goes up to INR 55969.71 lakhs in FY 2035.</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 xml:space="preserve">Company will be </w:t>
            </w:r>
            <w:r w:rsidRPr="00A73660">
              <w:rPr>
                <w:rFonts w:asciiTheme="minorHAnsi" w:hAnsiTheme="minorHAnsi" w:cstheme="minorHAnsi"/>
                <w:sz w:val="22"/>
                <w:szCs w:val="22"/>
              </w:rPr>
              <w:t xml:space="preserve">generating </w:t>
            </w:r>
            <w:r>
              <w:rPr>
                <w:rFonts w:asciiTheme="minorHAnsi" w:hAnsiTheme="minorHAnsi" w:cstheme="minorHAnsi"/>
                <w:sz w:val="22"/>
                <w:szCs w:val="22"/>
              </w:rPr>
              <w:t>the revenue in the form of saving from the electricity generation from 36 MW Solar and 27.30 MW Wind Power Plant.</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sidRPr="00F355CF">
              <w:rPr>
                <w:rFonts w:asciiTheme="minorHAnsi" w:hAnsiTheme="minorHAnsi" w:cstheme="minorHAnsi"/>
                <w:sz w:val="22"/>
                <w:szCs w:val="22"/>
              </w:rPr>
              <w:t>Plant load factor</w:t>
            </w:r>
            <w:r>
              <w:rPr>
                <w:rFonts w:asciiTheme="minorHAnsi" w:hAnsiTheme="minorHAnsi" w:cstheme="minorHAnsi"/>
                <w:sz w:val="22"/>
                <w:szCs w:val="22"/>
              </w:rPr>
              <w:t xml:space="preserve"> for Solar and Wind are considered as 18.55% and 36.96% respectively </w:t>
            </w:r>
            <w:r w:rsidRPr="00F355CF">
              <w:rPr>
                <w:rFonts w:asciiTheme="minorHAnsi" w:hAnsiTheme="minorHAnsi" w:cstheme="minorHAnsi"/>
                <w:sz w:val="22"/>
                <w:szCs w:val="22"/>
              </w:rPr>
              <w:t>as per the EPC agreement.</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D</w:t>
            </w:r>
            <w:r w:rsidRPr="00F355CF">
              <w:rPr>
                <w:rFonts w:asciiTheme="minorHAnsi" w:hAnsiTheme="minorHAnsi" w:cstheme="minorHAnsi"/>
                <w:sz w:val="22"/>
                <w:szCs w:val="22"/>
              </w:rPr>
              <w:t xml:space="preserve">egradation factors are considered as </w:t>
            </w:r>
            <w:r>
              <w:rPr>
                <w:rFonts w:asciiTheme="minorHAnsi" w:hAnsiTheme="minorHAnsi" w:cstheme="minorHAnsi"/>
                <w:sz w:val="22"/>
                <w:szCs w:val="22"/>
              </w:rPr>
              <w:t>0.55% from 2</w:t>
            </w:r>
            <w:r w:rsidRPr="00F756E9">
              <w:rPr>
                <w:rFonts w:asciiTheme="minorHAnsi" w:hAnsiTheme="minorHAnsi" w:cstheme="minorHAnsi"/>
                <w:sz w:val="22"/>
                <w:szCs w:val="22"/>
                <w:vertAlign w:val="superscript"/>
              </w:rPr>
              <w:t>nd</w:t>
            </w:r>
            <w:r>
              <w:rPr>
                <w:rFonts w:asciiTheme="minorHAnsi" w:hAnsiTheme="minorHAnsi" w:cstheme="minorHAnsi"/>
                <w:sz w:val="22"/>
                <w:szCs w:val="22"/>
              </w:rPr>
              <w:t xml:space="preserve"> year onwards as </w:t>
            </w:r>
            <w:r w:rsidRPr="00F355CF">
              <w:rPr>
                <w:rFonts w:asciiTheme="minorHAnsi" w:hAnsiTheme="minorHAnsi" w:cstheme="minorHAnsi"/>
                <w:sz w:val="22"/>
                <w:szCs w:val="22"/>
              </w:rPr>
              <w:t>per the EPC agreement.</w:t>
            </w:r>
            <w:r>
              <w:rPr>
                <w:rFonts w:asciiTheme="minorHAnsi" w:hAnsiTheme="minorHAnsi" w:cstheme="minorHAnsi"/>
                <w:sz w:val="22"/>
                <w:szCs w:val="22"/>
              </w:rPr>
              <w:t xml:space="preserve"> Similarly transmission losses are considered as 6.34% including 2.5% of windfarm internal losses. </w:t>
            </w:r>
            <w:r w:rsidRPr="00F355CF">
              <w:rPr>
                <w:rFonts w:asciiTheme="minorHAnsi" w:hAnsiTheme="minorHAnsi" w:cstheme="minorHAnsi"/>
                <w:sz w:val="22"/>
                <w:szCs w:val="22"/>
              </w:rPr>
              <w:t xml:space="preserve"> </w:t>
            </w:r>
          </w:p>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sidRPr="00F355CF">
              <w:rPr>
                <w:rFonts w:asciiTheme="minorHAnsi" w:hAnsiTheme="minorHAnsi" w:cstheme="minorHAnsi"/>
                <w:sz w:val="22"/>
                <w:szCs w:val="22"/>
              </w:rPr>
              <w:t xml:space="preserve">After multiplying these factors with installed capacity, No. of units Production (Yearly) </w:t>
            </w:r>
            <w:r>
              <w:rPr>
                <w:rFonts w:asciiTheme="minorHAnsi" w:hAnsiTheme="minorHAnsi" w:cstheme="minorHAnsi"/>
                <w:sz w:val="22"/>
                <w:szCs w:val="22"/>
              </w:rPr>
              <w:t>are</w:t>
            </w:r>
            <w:r w:rsidRPr="00F355CF">
              <w:rPr>
                <w:rFonts w:asciiTheme="minorHAnsi" w:hAnsiTheme="minorHAnsi" w:cstheme="minorHAnsi"/>
                <w:sz w:val="22"/>
                <w:szCs w:val="22"/>
              </w:rPr>
              <w:t xml:space="preserve"> determined. After adjusted with transmission losses, Net units Exported annually</w:t>
            </w:r>
            <w:r>
              <w:rPr>
                <w:rFonts w:asciiTheme="minorHAnsi" w:hAnsiTheme="minorHAnsi" w:cstheme="minorHAnsi"/>
                <w:sz w:val="22"/>
                <w:szCs w:val="22"/>
              </w:rPr>
              <w:t xml:space="preserve"> are determined.</w:t>
            </w:r>
          </w:p>
          <w:p w:rsidR="009422B9" w:rsidRPr="00F355CF"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Net units are multiplied by applicable tariff rate of INR 8.75 per unit as per the currently prevailing tariff and Net Revenue is calculated.</w:t>
            </w:r>
          </w:p>
          <w:p w:rsidR="009422B9" w:rsidRPr="00A67C64"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sidRPr="004574B2">
              <w:rPr>
                <w:rFonts w:asciiTheme="minorHAnsi" w:hAnsiTheme="minorHAnsi" w:cstheme="minorHAnsi"/>
                <w:sz w:val="22"/>
                <w:szCs w:val="22"/>
              </w:rPr>
              <w:t xml:space="preserve">Thus the company </w:t>
            </w:r>
            <w:r>
              <w:rPr>
                <w:rFonts w:asciiTheme="minorHAnsi" w:hAnsiTheme="minorHAnsi" w:cstheme="minorHAnsi"/>
                <w:sz w:val="22"/>
                <w:szCs w:val="22"/>
              </w:rPr>
              <w:t>is expected to generate</w:t>
            </w:r>
            <w:r w:rsidRPr="004574B2">
              <w:rPr>
                <w:rFonts w:asciiTheme="minorHAnsi" w:hAnsiTheme="minorHAnsi" w:cstheme="minorHAnsi"/>
                <w:sz w:val="22"/>
                <w:szCs w:val="22"/>
              </w:rPr>
              <w:t xml:space="preserve"> INR </w:t>
            </w:r>
            <w:r>
              <w:rPr>
                <w:rFonts w:asciiTheme="minorHAnsi" w:hAnsiTheme="minorHAnsi" w:cstheme="minorHAnsi"/>
                <w:sz w:val="22"/>
                <w:szCs w:val="22"/>
              </w:rPr>
              <w:t xml:space="preserve">120.39 Crore annual revenue in FY 2027, which </w:t>
            </w:r>
            <w:r w:rsidRPr="00A67C64">
              <w:rPr>
                <w:rFonts w:asciiTheme="minorHAnsi" w:hAnsiTheme="minorHAnsi" w:cstheme="minorHAnsi"/>
                <w:sz w:val="22"/>
                <w:szCs w:val="22"/>
              </w:rPr>
              <w:t xml:space="preserve">is expected to increase up to INR </w:t>
            </w:r>
            <w:r>
              <w:rPr>
                <w:rFonts w:asciiTheme="minorHAnsi" w:hAnsiTheme="minorHAnsi" w:cstheme="minorHAnsi"/>
                <w:sz w:val="22"/>
                <w:szCs w:val="22"/>
              </w:rPr>
              <w:t>134.87</w:t>
            </w:r>
            <w:r w:rsidRPr="00A67C64">
              <w:rPr>
                <w:rFonts w:asciiTheme="minorHAnsi" w:hAnsiTheme="minorHAnsi" w:cstheme="minorHAnsi"/>
                <w:sz w:val="22"/>
                <w:szCs w:val="22"/>
              </w:rPr>
              <w:t xml:space="preserve"> Crore</w:t>
            </w:r>
            <w:r>
              <w:rPr>
                <w:rFonts w:asciiTheme="minorHAnsi" w:hAnsiTheme="minorHAnsi" w:cstheme="minorHAnsi"/>
                <w:sz w:val="22"/>
                <w:szCs w:val="22"/>
              </w:rPr>
              <w:t xml:space="preserve"> till FY 20</w:t>
            </w:r>
            <w:r w:rsidRPr="00A67C64">
              <w:rPr>
                <w:rFonts w:asciiTheme="minorHAnsi" w:hAnsiTheme="minorHAnsi" w:cstheme="minorHAnsi"/>
                <w:sz w:val="22"/>
                <w:szCs w:val="22"/>
              </w:rPr>
              <w:t>5</w:t>
            </w:r>
            <w:r>
              <w:rPr>
                <w:rFonts w:asciiTheme="minorHAnsi" w:hAnsiTheme="minorHAnsi" w:cstheme="minorHAnsi"/>
                <w:sz w:val="22"/>
                <w:szCs w:val="22"/>
              </w:rPr>
              <w:t>2</w:t>
            </w:r>
            <w:r w:rsidRPr="00A67C64">
              <w:rPr>
                <w:rFonts w:asciiTheme="minorHAnsi" w:hAnsiTheme="minorHAnsi" w:cstheme="minorHAnsi"/>
                <w:sz w:val="22"/>
                <w:szCs w:val="22"/>
              </w:rPr>
              <w:t>.</w:t>
            </w:r>
          </w:p>
          <w:p w:rsidR="009422B9" w:rsidRPr="006B4AE7" w:rsidRDefault="009422B9" w:rsidP="009422B9">
            <w:pPr>
              <w:pStyle w:val="ListParagraph"/>
              <w:numPr>
                <w:ilvl w:val="1"/>
                <w:numId w:val="1"/>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lastRenderedPageBreak/>
              <w:t>Escalation of 1% is considered in applicable tariff rate as informed by client during the projected period.</w:t>
            </w:r>
          </w:p>
        </w:tc>
      </w:tr>
      <w:tr w:rsidR="009422B9" w:rsidRPr="004574B2" w:rsidTr="00122E97">
        <w:trPr>
          <w:trHeight w:val="2116"/>
        </w:trPr>
        <w:tc>
          <w:tcPr>
            <w:tcW w:w="530" w:type="pct"/>
            <w:shd w:val="clear" w:color="auto" w:fill="auto"/>
            <w:vAlign w:val="center"/>
          </w:tcPr>
          <w:p w:rsidR="009422B9" w:rsidRPr="004574B2" w:rsidRDefault="009422B9" w:rsidP="009422B9">
            <w:pPr>
              <w:pStyle w:val="ListParagraph"/>
              <w:numPr>
                <w:ilvl w:val="0"/>
                <w:numId w:val="1"/>
              </w:numPr>
              <w:spacing w:after="160" w:line="360" w:lineRule="auto"/>
              <w:jc w:val="center"/>
              <w:rPr>
                <w:rFonts w:asciiTheme="minorHAnsi" w:hAnsiTheme="minorHAnsi" w:cstheme="minorHAnsi"/>
                <w:b/>
                <w:bCs/>
                <w:sz w:val="22"/>
                <w:szCs w:val="22"/>
              </w:rPr>
            </w:pPr>
          </w:p>
        </w:tc>
        <w:tc>
          <w:tcPr>
            <w:tcW w:w="985" w:type="pct"/>
            <w:shd w:val="clear" w:color="auto" w:fill="auto"/>
            <w:vAlign w:val="center"/>
          </w:tcPr>
          <w:p w:rsidR="009422B9" w:rsidRPr="004574B2" w:rsidRDefault="009422B9" w:rsidP="00122E97">
            <w:pPr>
              <w:spacing w:line="360" w:lineRule="auto"/>
              <w:rPr>
                <w:rFonts w:asciiTheme="minorHAnsi" w:hAnsiTheme="minorHAnsi" w:cstheme="minorHAnsi"/>
                <w:b/>
                <w:bCs/>
                <w:sz w:val="22"/>
                <w:szCs w:val="22"/>
              </w:rPr>
            </w:pPr>
            <w:r w:rsidRPr="004574B2">
              <w:rPr>
                <w:rFonts w:asciiTheme="minorHAnsi" w:hAnsiTheme="minorHAnsi" w:cstheme="minorHAnsi"/>
                <w:b/>
                <w:bCs/>
                <w:sz w:val="22"/>
                <w:szCs w:val="22"/>
              </w:rPr>
              <w:t>Pricing (Average Price Per Unit)</w:t>
            </w:r>
          </w:p>
        </w:tc>
        <w:tc>
          <w:tcPr>
            <w:tcW w:w="3485" w:type="pct"/>
            <w:shd w:val="clear" w:color="auto" w:fill="auto"/>
          </w:tcPr>
          <w:p w:rsidR="009422B9" w:rsidRPr="00A67C64"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Applicable tariff rate is considered as INR 8.75 per unit as per the currently prevailing industrial commercial tariff rate per unit in the state of Gujrat.</w:t>
            </w:r>
          </w:p>
          <w:p w:rsidR="009422B9" w:rsidRPr="00A67C64" w:rsidRDefault="009422B9" w:rsidP="009422B9">
            <w:pPr>
              <w:pStyle w:val="ListParagraph"/>
              <w:numPr>
                <w:ilvl w:val="1"/>
                <w:numId w:val="1"/>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t>Escalation of 1% is considered in applicable tariff rate as informed by client during the projected period.</w:t>
            </w:r>
          </w:p>
        </w:tc>
      </w:tr>
      <w:tr w:rsidR="009422B9" w:rsidRPr="004574B2" w:rsidTr="00122E97">
        <w:trPr>
          <w:trHeight w:val="2287"/>
        </w:trPr>
        <w:tc>
          <w:tcPr>
            <w:tcW w:w="530" w:type="pct"/>
            <w:shd w:val="clear" w:color="auto" w:fill="auto"/>
            <w:vAlign w:val="center"/>
          </w:tcPr>
          <w:p w:rsidR="009422B9" w:rsidRPr="004574B2" w:rsidRDefault="009422B9" w:rsidP="009422B9">
            <w:pPr>
              <w:pStyle w:val="ListParagraph"/>
              <w:numPr>
                <w:ilvl w:val="0"/>
                <w:numId w:val="1"/>
              </w:numPr>
              <w:spacing w:after="160" w:line="360" w:lineRule="auto"/>
              <w:jc w:val="center"/>
              <w:rPr>
                <w:rFonts w:asciiTheme="minorHAnsi" w:hAnsiTheme="minorHAnsi" w:cstheme="minorHAnsi"/>
                <w:b/>
                <w:bCs/>
                <w:sz w:val="22"/>
                <w:szCs w:val="22"/>
              </w:rPr>
            </w:pPr>
          </w:p>
        </w:tc>
        <w:tc>
          <w:tcPr>
            <w:tcW w:w="985" w:type="pct"/>
            <w:shd w:val="clear" w:color="auto" w:fill="auto"/>
            <w:vAlign w:val="center"/>
          </w:tcPr>
          <w:p w:rsidR="009422B9" w:rsidRPr="004574B2" w:rsidRDefault="009422B9" w:rsidP="00122E97">
            <w:pPr>
              <w:spacing w:line="360" w:lineRule="auto"/>
              <w:rPr>
                <w:rFonts w:asciiTheme="minorHAnsi" w:hAnsiTheme="minorHAnsi" w:cstheme="minorHAnsi"/>
                <w:b/>
                <w:bCs/>
                <w:sz w:val="22"/>
                <w:szCs w:val="22"/>
              </w:rPr>
            </w:pPr>
            <w:r w:rsidRPr="004574B2">
              <w:rPr>
                <w:rFonts w:asciiTheme="minorHAnsi" w:hAnsiTheme="minorHAnsi" w:cstheme="minorHAnsi"/>
                <w:b/>
                <w:bCs/>
                <w:sz w:val="22"/>
                <w:szCs w:val="22"/>
              </w:rPr>
              <w:t>Capacity Utilization</w:t>
            </w:r>
          </w:p>
        </w:tc>
        <w:tc>
          <w:tcPr>
            <w:tcW w:w="3485" w:type="pct"/>
            <w:shd w:val="clear" w:color="auto" w:fill="auto"/>
          </w:tcPr>
          <w:p w:rsidR="009422B9"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sidRPr="004574B2">
              <w:rPr>
                <w:rFonts w:asciiTheme="minorHAnsi" w:hAnsiTheme="minorHAnsi" w:cstheme="minorHAnsi"/>
                <w:sz w:val="22"/>
                <w:szCs w:val="22"/>
              </w:rPr>
              <w:t xml:space="preserve">The proposed </w:t>
            </w:r>
            <w:r>
              <w:rPr>
                <w:rFonts w:asciiTheme="minorHAnsi" w:hAnsiTheme="minorHAnsi" w:cstheme="minorHAnsi"/>
                <w:sz w:val="22"/>
                <w:szCs w:val="22"/>
              </w:rPr>
              <w:t>Wind Solar Hybrid power plant will be installed</w:t>
            </w:r>
            <w:r w:rsidRPr="006B4AE7">
              <w:rPr>
                <w:rFonts w:asciiTheme="minorHAnsi" w:hAnsiTheme="minorHAnsi" w:cstheme="minorHAnsi"/>
                <w:sz w:val="22"/>
                <w:szCs w:val="22"/>
              </w:rPr>
              <w:t xml:space="preserve"> with a combined capacity of </w:t>
            </w:r>
            <w:r>
              <w:rPr>
                <w:rFonts w:asciiTheme="minorHAnsi" w:hAnsiTheme="minorHAnsi" w:cstheme="minorHAnsi"/>
                <w:sz w:val="22"/>
                <w:szCs w:val="22"/>
              </w:rPr>
              <w:t>63.30 MW (</w:t>
            </w:r>
            <w:r w:rsidRPr="00DB49E0">
              <w:rPr>
                <w:rFonts w:asciiTheme="minorHAnsi" w:hAnsiTheme="minorHAnsi" w:cstheme="minorHAnsi"/>
                <w:sz w:val="22"/>
                <w:szCs w:val="22"/>
              </w:rPr>
              <w:t xml:space="preserve">36 MW DC Solar (~62062 nos. of Solar PV Module) 580Wp of BiN-08-580 type Solar module from </w:t>
            </w:r>
            <w:proofErr w:type="spellStart"/>
            <w:r w:rsidRPr="00DB49E0">
              <w:rPr>
                <w:rFonts w:asciiTheme="minorHAnsi" w:hAnsiTheme="minorHAnsi" w:cstheme="minorHAnsi"/>
                <w:sz w:val="22"/>
                <w:szCs w:val="22"/>
              </w:rPr>
              <w:t>Waaree</w:t>
            </w:r>
            <w:proofErr w:type="spellEnd"/>
            <w:r w:rsidRPr="00DB49E0">
              <w:rPr>
                <w:rFonts w:asciiTheme="minorHAnsi" w:hAnsiTheme="minorHAnsi" w:cstheme="minorHAnsi"/>
                <w:sz w:val="22"/>
                <w:szCs w:val="22"/>
              </w:rPr>
              <w:t xml:space="preserve"> Energies Limited and </w:t>
            </w:r>
            <w:proofErr w:type="spellStart"/>
            <w:r w:rsidRPr="00DB49E0">
              <w:rPr>
                <w:rFonts w:asciiTheme="minorHAnsi" w:hAnsiTheme="minorHAnsi" w:cstheme="minorHAnsi"/>
                <w:sz w:val="22"/>
                <w:szCs w:val="22"/>
              </w:rPr>
              <w:t>Suzlon</w:t>
            </w:r>
            <w:proofErr w:type="spellEnd"/>
            <w:r w:rsidRPr="00DB49E0">
              <w:rPr>
                <w:rFonts w:asciiTheme="minorHAnsi" w:hAnsiTheme="minorHAnsi" w:cstheme="minorHAnsi"/>
                <w:sz w:val="22"/>
                <w:szCs w:val="22"/>
              </w:rPr>
              <w:t xml:space="preserve"> S 120 – (2.1 X 13) 27.30 MW Wind turbine generator (WTG)</w:t>
            </w:r>
            <w:r>
              <w:rPr>
                <w:rFonts w:asciiTheme="minorHAnsi" w:hAnsiTheme="minorHAnsi" w:cstheme="minorHAnsi"/>
                <w:sz w:val="22"/>
                <w:szCs w:val="22"/>
              </w:rPr>
              <w:t>)</w:t>
            </w:r>
            <w:r w:rsidRPr="006B4AE7">
              <w:rPr>
                <w:rFonts w:asciiTheme="minorHAnsi" w:hAnsiTheme="minorHAnsi" w:cstheme="minorHAnsi"/>
                <w:sz w:val="22"/>
                <w:szCs w:val="22"/>
              </w:rPr>
              <w:t>.</w:t>
            </w:r>
          </w:p>
          <w:p w:rsidR="009422B9" w:rsidRPr="006B4AE7" w:rsidRDefault="009422B9" w:rsidP="009422B9">
            <w:pPr>
              <w:pStyle w:val="ListParagraph"/>
              <w:numPr>
                <w:ilvl w:val="1"/>
                <w:numId w:val="1"/>
              </w:numPr>
              <w:spacing w:before="240" w:after="240" w:line="360" w:lineRule="auto"/>
              <w:ind w:left="333"/>
              <w:jc w:val="both"/>
              <w:rPr>
                <w:rFonts w:asciiTheme="minorHAnsi" w:hAnsiTheme="minorHAnsi" w:cstheme="minorHAnsi"/>
                <w:sz w:val="22"/>
                <w:szCs w:val="22"/>
              </w:rPr>
            </w:pPr>
            <w:r>
              <w:rPr>
                <w:rFonts w:asciiTheme="minorHAnsi" w:hAnsiTheme="minorHAnsi" w:cstheme="minorHAnsi"/>
                <w:sz w:val="22"/>
                <w:szCs w:val="22"/>
              </w:rPr>
              <w:t>Plant load factor of 18.55% for Solar and 36.96% for wind are considered in the initial operating year and degradation factor of 0.5% y-o-y basis from 2</w:t>
            </w:r>
            <w:r w:rsidRPr="00DB49E0">
              <w:rPr>
                <w:rFonts w:asciiTheme="minorHAnsi" w:hAnsiTheme="minorHAnsi" w:cstheme="minorHAnsi"/>
                <w:sz w:val="22"/>
                <w:szCs w:val="22"/>
                <w:vertAlign w:val="superscript"/>
              </w:rPr>
              <w:t>nd</w:t>
            </w:r>
            <w:r>
              <w:rPr>
                <w:rFonts w:asciiTheme="minorHAnsi" w:hAnsiTheme="minorHAnsi" w:cstheme="minorHAnsi"/>
                <w:sz w:val="22"/>
                <w:szCs w:val="22"/>
              </w:rPr>
              <w:t xml:space="preserve"> year onwards is taken as per the EPC agreement.</w:t>
            </w:r>
          </w:p>
        </w:tc>
      </w:tr>
      <w:tr w:rsidR="009422B9" w:rsidRPr="004574B2" w:rsidTr="00122E97">
        <w:trPr>
          <w:trHeight w:val="1622"/>
        </w:trPr>
        <w:tc>
          <w:tcPr>
            <w:tcW w:w="530" w:type="pct"/>
            <w:shd w:val="clear" w:color="auto" w:fill="auto"/>
            <w:vAlign w:val="center"/>
          </w:tcPr>
          <w:p w:rsidR="009422B9" w:rsidRPr="004574B2" w:rsidRDefault="009422B9" w:rsidP="009422B9">
            <w:pPr>
              <w:pStyle w:val="ListParagraph"/>
              <w:numPr>
                <w:ilvl w:val="0"/>
                <w:numId w:val="1"/>
              </w:numPr>
              <w:spacing w:after="160" w:line="360" w:lineRule="auto"/>
              <w:jc w:val="center"/>
              <w:rPr>
                <w:rFonts w:asciiTheme="minorHAnsi" w:hAnsiTheme="minorHAnsi" w:cstheme="minorHAnsi"/>
                <w:b/>
                <w:bCs/>
                <w:sz w:val="22"/>
                <w:szCs w:val="22"/>
              </w:rPr>
            </w:pPr>
          </w:p>
        </w:tc>
        <w:tc>
          <w:tcPr>
            <w:tcW w:w="985" w:type="pct"/>
            <w:shd w:val="clear" w:color="auto" w:fill="auto"/>
            <w:vAlign w:val="center"/>
          </w:tcPr>
          <w:p w:rsidR="009422B9" w:rsidRPr="004574B2" w:rsidRDefault="009422B9" w:rsidP="00122E97">
            <w:pPr>
              <w:spacing w:line="360" w:lineRule="auto"/>
              <w:rPr>
                <w:rFonts w:asciiTheme="minorHAnsi" w:hAnsiTheme="minorHAnsi" w:cstheme="minorHAnsi"/>
                <w:b/>
                <w:bCs/>
                <w:sz w:val="22"/>
                <w:szCs w:val="22"/>
              </w:rPr>
            </w:pPr>
            <w:r w:rsidRPr="004574B2">
              <w:rPr>
                <w:rFonts w:asciiTheme="minorHAnsi" w:hAnsiTheme="minorHAnsi" w:cstheme="minorHAnsi"/>
                <w:b/>
                <w:bCs/>
                <w:sz w:val="22"/>
                <w:szCs w:val="22"/>
              </w:rPr>
              <w:t>Capital Expenditure</w:t>
            </w:r>
          </w:p>
        </w:tc>
        <w:tc>
          <w:tcPr>
            <w:tcW w:w="3485" w:type="pct"/>
            <w:shd w:val="clear" w:color="auto" w:fill="auto"/>
          </w:tcPr>
          <w:p w:rsidR="009422B9"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t xml:space="preserve">M/s Sai </w:t>
            </w:r>
            <w:proofErr w:type="spellStart"/>
            <w:r w:rsidRPr="00F114D2">
              <w:rPr>
                <w:rFonts w:asciiTheme="minorHAnsi" w:hAnsiTheme="minorHAnsi" w:cstheme="minorHAnsi"/>
                <w:sz w:val="22"/>
                <w:szCs w:val="22"/>
              </w:rPr>
              <w:t>Infinium</w:t>
            </w:r>
            <w:proofErr w:type="spellEnd"/>
            <w:r w:rsidRPr="00F114D2">
              <w:rPr>
                <w:rFonts w:asciiTheme="minorHAnsi" w:hAnsiTheme="minorHAnsi" w:cstheme="minorHAnsi"/>
                <w:sz w:val="22"/>
                <w:szCs w:val="22"/>
              </w:rPr>
              <w:t xml:space="preserve"> Limited has executed an EPC/Techno-Commercial contract with </w:t>
            </w:r>
            <w:r>
              <w:rPr>
                <w:rFonts w:asciiTheme="minorHAnsi" w:hAnsiTheme="minorHAnsi" w:cstheme="minorHAnsi"/>
                <w:sz w:val="22"/>
                <w:szCs w:val="22"/>
              </w:rPr>
              <w:t>Opera</w:t>
            </w:r>
            <w:r w:rsidRPr="00F114D2">
              <w:rPr>
                <w:rFonts w:asciiTheme="minorHAnsi" w:hAnsiTheme="minorHAnsi" w:cstheme="minorHAnsi"/>
                <w:sz w:val="22"/>
                <w:szCs w:val="22"/>
              </w:rPr>
              <w:t xml:space="preserve"> Energy Private Limited for Captive hybrid power plant for </w:t>
            </w:r>
            <w:r>
              <w:rPr>
                <w:rFonts w:asciiTheme="minorHAnsi" w:hAnsiTheme="minorHAnsi" w:cstheme="minorHAnsi"/>
                <w:sz w:val="22"/>
                <w:szCs w:val="22"/>
              </w:rPr>
              <w:t>27.30 (13 x 2.1)</w:t>
            </w:r>
            <w:r w:rsidRPr="00F114D2">
              <w:rPr>
                <w:rFonts w:asciiTheme="minorHAnsi" w:hAnsiTheme="minorHAnsi" w:cstheme="minorHAnsi"/>
                <w:sz w:val="22"/>
                <w:szCs w:val="22"/>
              </w:rPr>
              <w:t xml:space="preserve"> WTG with 36</w:t>
            </w:r>
            <w:r>
              <w:rPr>
                <w:rFonts w:asciiTheme="minorHAnsi" w:hAnsiTheme="minorHAnsi" w:cstheme="minorHAnsi"/>
                <w:sz w:val="22"/>
                <w:szCs w:val="22"/>
              </w:rPr>
              <w:t>.96</w:t>
            </w:r>
            <w:r w:rsidRPr="00F114D2">
              <w:rPr>
                <w:rFonts w:asciiTheme="minorHAnsi" w:hAnsiTheme="minorHAnsi" w:cstheme="minorHAnsi"/>
                <w:sz w:val="22"/>
                <w:szCs w:val="22"/>
              </w:rPr>
              <w:t xml:space="preserve">% PLF &amp; </w:t>
            </w:r>
            <w:r>
              <w:rPr>
                <w:rFonts w:asciiTheme="minorHAnsi" w:hAnsiTheme="minorHAnsi" w:cstheme="minorHAnsi"/>
                <w:sz w:val="22"/>
                <w:szCs w:val="22"/>
              </w:rPr>
              <w:t>36 MW DC Solar 18.55% PLF.</w:t>
            </w:r>
          </w:p>
          <w:p w:rsidR="009422B9" w:rsidRPr="00F13762"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t>C</w:t>
            </w:r>
            <w:r w:rsidRPr="00F13762">
              <w:rPr>
                <w:rFonts w:asciiTheme="minorHAnsi" w:hAnsiTheme="minorHAnsi" w:cstheme="minorHAnsi"/>
                <w:sz w:val="22"/>
                <w:szCs w:val="22"/>
              </w:rPr>
              <w:t xml:space="preserve">ompany has appointed </w:t>
            </w:r>
            <w:r>
              <w:rPr>
                <w:rFonts w:asciiTheme="minorHAnsi" w:hAnsiTheme="minorHAnsi" w:cstheme="minorHAnsi"/>
                <w:sz w:val="22"/>
                <w:szCs w:val="22"/>
              </w:rPr>
              <w:t xml:space="preserve">Opera as </w:t>
            </w:r>
            <w:r w:rsidRPr="00F13762">
              <w:rPr>
                <w:rFonts w:asciiTheme="minorHAnsi" w:hAnsiTheme="minorHAnsi" w:cstheme="minorHAnsi"/>
                <w:sz w:val="22"/>
                <w:szCs w:val="22"/>
              </w:rPr>
              <w:t xml:space="preserve">an EPC through entering into a legal agreement dated </w:t>
            </w:r>
            <w:r>
              <w:rPr>
                <w:rFonts w:asciiTheme="minorHAnsi" w:hAnsiTheme="minorHAnsi" w:cstheme="minorHAnsi"/>
                <w:sz w:val="22"/>
                <w:szCs w:val="22"/>
              </w:rPr>
              <w:t>7</w:t>
            </w:r>
            <w:r w:rsidRPr="00F13762">
              <w:rPr>
                <w:rFonts w:asciiTheme="minorHAnsi" w:hAnsiTheme="minorHAnsi" w:cstheme="minorHAnsi"/>
                <w:sz w:val="22"/>
                <w:szCs w:val="22"/>
                <w:vertAlign w:val="superscript"/>
              </w:rPr>
              <w:t>th</w:t>
            </w:r>
            <w:r>
              <w:rPr>
                <w:rFonts w:asciiTheme="minorHAnsi" w:hAnsiTheme="minorHAnsi" w:cstheme="minorHAnsi"/>
                <w:sz w:val="22"/>
                <w:szCs w:val="22"/>
              </w:rPr>
              <w:t xml:space="preserve"> Jan 2025,</w:t>
            </w:r>
            <w:r w:rsidRPr="00F13762">
              <w:rPr>
                <w:rFonts w:asciiTheme="minorHAnsi" w:hAnsiTheme="minorHAnsi" w:cstheme="minorHAnsi"/>
                <w:sz w:val="22"/>
                <w:szCs w:val="22"/>
              </w:rPr>
              <w:t xml:space="preserve"> who will be the solution provider for the proposed </w:t>
            </w:r>
            <w:r>
              <w:rPr>
                <w:rFonts w:asciiTheme="minorHAnsi" w:hAnsiTheme="minorHAnsi" w:cstheme="minorHAnsi"/>
                <w:sz w:val="22"/>
                <w:szCs w:val="22"/>
              </w:rPr>
              <w:t>63.30</w:t>
            </w:r>
            <w:r w:rsidRPr="00F13762">
              <w:rPr>
                <w:rFonts w:asciiTheme="minorHAnsi" w:hAnsiTheme="minorHAnsi" w:cstheme="minorHAnsi"/>
                <w:sz w:val="22"/>
                <w:szCs w:val="22"/>
              </w:rPr>
              <w:t xml:space="preserve"> MW hybrid project to impl</w:t>
            </w:r>
            <w:r>
              <w:rPr>
                <w:rFonts w:asciiTheme="minorHAnsi" w:hAnsiTheme="minorHAnsi" w:cstheme="minorHAnsi"/>
                <w:sz w:val="22"/>
                <w:szCs w:val="22"/>
              </w:rPr>
              <w:t>ement on turnkey basis within 13</w:t>
            </w:r>
            <w:r w:rsidRPr="00F13762">
              <w:rPr>
                <w:rFonts w:asciiTheme="minorHAnsi" w:hAnsiTheme="minorHAnsi" w:cstheme="minorHAnsi"/>
                <w:sz w:val="22"/>
                <w:szCs w:val="22"/>
              </w:rPr>
              <w:t xml:space="preserve"> months of zero </w:t>
            </w:r>
            <w:r>
              <w:rPr>
                <w:rFonts w:asciiTheme="minorHAnsi" w:hAnsiTheme="minorHAnsi" w:cstheme="minorHAnsi"/>
                <w:sz w:val="22"/>
                <w:szCs w:val="22"/>
              </w:rPr>
              <w:t>and</w:t>
            </w:r>
            <w:r w:rsidRPr="00F13762">
              <w:rPr>
                <w:rFonts w:asciiTheme="minorHAnsi" w:hAnsiTheme="minorHAnsi" w:cstheme="minorHAnsi"/>
                <w:sz w:val="22"/>
                <w:szCs w:val="22"/>
              </w:rPr>
              <w:t xml:space="preserve"> design, develop, transfer and maintain the solar and wind hybrid power pla</w:t>
            </w:r>
            <w:r>
              <w:rPr>
                <w:rFonts w:asciiTheme="minorHAnsi" w:hAnsiTheme="minorHAnsi" w:cstheme="minorHAnsi"/>
                <w:sz w:val="22"/>
                <w:szCs w:val="22"/>
              </w:rPr>
              <w:t xml:space="preserve">nt on behalf of M/s Sai </w:t>
            </w:r>
            <w:proofErr w:type="spellStart"/>
            <w:r w:rsidRPr="00F13762">
              <w:rPr>
                <w:rFonts w:asciiTheme="minorHAnsi" w:hAnsiTheme="minorHAnsi" w:cstheme="minorHAnsi"/>
                <w:sz w:val="22"/>
                <w:szCs w:val="22"/>
              </w:rPr>
              <w:t>Infinium</w:t>
            </w:r>
            <w:proofErr w:type="spellEnd"/>
            <w:r w:rsidRPr="00F13762">
              <w:rPr>
                <w:rFonts w:asciiTheme="minorHAnsi" w:hAnsiTheme="minorHAnsi" w:cstheme="minorHAnsi"/>
                <w:sz w:val="22"/>
                <w:szCs w:val="22"/>
              </w:rPr>
              <w:t xml:space="preserve"> Limited as an industrial customer.</w:t>
            </w:r>
          </w:p>
          <w:p w:rsidR="009422B9" w:rsidRPr="00F13762"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sidRPr="00F13762">
              <w:rPr>
                <w:rFonts w:asciiTheme="minorHAnsi" w:hAnsiTheme="minorHAnsi" w:cstheme="minorHAnsi"/>
                <w:sz w:val="22"/>
                <w:szCs w:val="22"/>
              </w:rPr>
              <w:t>The proposed wind solar hybrid power plant will not be having major building and civil works. Only land development and foundation work will be there as per the requirement of WTG and PV modules. Out of total EPC cost of INR 438.81 Cr., ~5% i.e. INR 21.94 Cr. will be the cost of Civil work, and rest 95% i.e. INR 416 .87 Cr. will the cost for proposed plant &amp; machinery</w:t>
            </w:r>
            <w:r>
              <w:rPr>
                <w:rFonts w:asciiTheme="minorHAnsi" w:hAnsiTheme="minorHAnsi" w:cstheme="minorHAnsi"/>
                <w:sz w:val="22"/>
                <w:szCs w:val="22"/>
              </w:rPr>
              <w:t xml:space="preserve">, </w:t>
            </w:r>
            <w:r w:rsidRPr="00F13762">
              <w:rPr>
                <w:rFonts w:asciiTheme="minorHAnsi" w:hAnsiTheme="minorHAnsi" w:cstheme="minorHAnsi"/>
                <w:sz w:val="22"/>
                <w:szCs w:val="22"/>
              </w:rPr>
              <w:t>which seems to be reasonable after considering the infrastructure of the plant. However we are relied upon the data/information and EPC agreement shared with us by the client in this regard.</w:t>
            </w:r>
          </w:p>
          <w:p w:rsidR="009422B9"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sidRPr="00D67CA6">
              <w:rPr>
                <w:rFonts w:asciiTheme="minorHAnsi" w:hAnsiTheme="minorHAnsi" w:cstheme="minorHAnsi"/>
                <w:sz w:val="22"/>
                <w:szCs w:val="22"/>
              </w:rPr>
              <w:t>As per the data/information provided by the client, applicable Interest</w:t>
            </w:r>
            <w:r>
              <w:rPr>
                <w:rFonts w:asciiTheme="minorHAnsi" w:hAnsiTheme="minorHAnsi" w:cstheme="minorHAnsi"/>
                <w:sz w:val="22"/>
                <w:szCs w:val="22"/>
              </w:rPr>
              <w:t xml:space="preserve"> during Construction (IDC) is 11</w:t>
            </w:r>
            <w:r w:rsidRPr="00D67CA6">
              <w:rPr>
                <w:rFonts w:asciiTheme="minorHAnsi" w:hAnsiTheme="minorHAnsi" w:cstheme="minorHAnsi"/>
                <w:sz w:val="22"/>
                <w:szCs w:val="22"/>
              </w:rPr>
              <w:t>%. As per the proposed Loan repayment schedule, com</w:t>
            </w:r>
            <w:r>
              <w:rPr>
                <w:rFonts w:asciiTheme="minorHAnsi" w:hAnsiTheme="minorHAnsi" w:cstheme="minorHAnsi"/>
                <w:sz w:val="22"/>
                <w:szCs w:val="22"/>
              </w:rPr>
              <w:t>pany is required to pay INR 25.22 Crore as IDC from March 2025</w:t>
            </w:r>
            <w:r w:rsidRPr="00D67CA6">
              <w:rPr>
                <w:rFonts w:asciiTheme="minorHAnsi" w:hAnsiTheme="minorHAnsi" w:cstheme="minorHAnsi"/>
                <w:sz w:val="22"/>
                <w:szCs w:val="22"/>
              </w:rPr>
              <w:t xml:space="preserve"> to </w:t>
            </w:r>
            <w:r>
              <w:rPr>
                <w:rFonts w:asciiTheme="minorHAnsi" w:hAnsiTheme="minorHAnsi" w:cstheme="minorHAnsi"/>
                <w:sz w:val="22"/>
                <w:szCs w:val="22"/>
              </w:rPr>
              <w:t>31</w:t>
            </w:r>
            <w:r w:rsidRPr="00F114D2">
              <w:rPr>
                <w:rFonts w:asciiTheme="minorHAnsi" w:hAnsiTheme="minorHAnsi" w:cstheme="minorHAnsi"/>
                <w:sz w:val="22"/>
                <w:szCs w:val="22"/>
                <w:vertAlign w:val="superscript"/>
              </w:rPr>
              <w:t>st</w:t>
            </w:r>
            <w:r>
              <w:rPr>
                <w:rFonts w:asciiTheme="minorHAnsi" w:hAnsiTheme="minorHAnsi" w:cstheme="minorHAnsi"/>
                <w:sz w:val="22"/>
                <w:szCs w:val="22"/>
              </w:rPr>
              <w:t xml:space="preserve"> March 2026 (12</w:t>
            </w:r>
            <w:r w:rsidRPr="00D67CA6">
              <w:rPr>
                <w:rFonts w:asciiTheme="minorHAnsi" w:hAnsiTheme="minorHAnsi" w:cstheme="minorHAnsi"/>
                <w:sz w:val="22"/>
                <w:szCs w:val="22"/>
              </w:rPr>
              <w:t xml:space="preserve"> months).</w:t>
            </w:r>
          </w:p>
          <w:p w:rsidR="009422B9"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sidRPr="00F114D2">
              <w:rPr>
                <w:rFonts w:asciiTheme="minorHAnsi" w:hAnsiTheme="minorHAnsi" w:cstheme="minorHAnsi"/>
                <w:sz w:val="22"/>
                <w:szCs w:val="22"/>
              </w:rPr>
              <w:t>Preliminary &amp; Pre-Operative Expenses has been considered based on the estimate of company’s r</w:t>
            </w:r>
            <w:r>
              <w:rPr>
                <w:rFonts w:asciiTheme="minorHAnsi" w:hAnsiTheme="minorHAnsi" w:cstheme="minorHAnsi"/>
                <w:sz w:val="22"/>
                <w:szCs w:val="22"/>
              </w:rPr>
              <w:t>esources involvement as INR 4.39</w:t>
            </w:r>
            <w:r w:rsidRPr="00F114D2">
              <w:rPr>
                <w:rFonts w:asciiTheme="minorHAnsi" w:hAnsiTheme="minorHAnsi" w:cstheme="minorHAnsi"/>
                <w:sz w:val="22"/>
                <w:szCs w:val="22"/>
              </w:rPr>
              <w:t xml:space="preserve"> Crore, which is 1% of hard cost of the project. However, Company did not provide us any invoices/bills against these tentative costs considered. We recommend that the bank/financial institutions advice the company to submit actual cost based on the final quotations/invoices/bills. This will help validate the assertion of different costs considered by the client.</w:t>
            </w:r>
          </w:p>
          <w:p w:rsidR="009422B9"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t>Contingency cost of INR 2.19</w:t>
            </w:r>
            <w:r w:rsidRPr="00F114D2">
              <w:rPr>
                <w:rFonts w:asciiTheme="minorHAnsi" w:hAnsiTheme="minorHAnsi" w:cstheme="minorHAnsi"/>
                <w:sz w:val="22"/>
                <w:szCs w:val="22"/>
              </w:rPr>
              <w:t xml:space="preserve"> Crore has been considered based on general assumption and professional experience (~0.5 of Hard Cost of the Project).</w:t>
            </w:r>
          </w:p>
          <w:p w:rsidR="009422B9"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sidRPr="00F114D2">
              <w:rPr>
                <w:rFonts w:asciiTheme="minorHAnsi" w:hAnsiTheme="minorHAnsi" w:cstheme="minorHAnsi"/>
                <w:sz w:val="22"/>
                <w:szCs w:val="22"/>
              </w:rPr>
              <w:t xml:space="preserve">As per the EPC agreement, the proposed captive hybrid power plant will be setting up with an </w:t>
            </w:r>
            <w:r>
              <w:rPr>
                <w:rFonts w:asciiTheme="minorHAnsi" w:hAnsiTheme="minorHAnsi" w:cstheme="minorHAnsi"/>
                <w:sz w:val="22"/>
                <w:szCs w:val="22"/>
              </w:rPr>
              <w:t>initial investment of INR 467.91</w:t>
            </w:r>
            <w:r w:rsidRPr="00F114D2">
              <w:rPr>
                <w:rFonts w:asciiTheme="minorHAnsi" w:hAnsiTheme="minorHAnsi" w:cstheme="minorHAnsi"/>
                <w:sz w:val="22"/>
                <w:szCs w:val="22"/>
              </w:rPr>
              <w:t xml:space="preserve"> Crore including EPC, IDC, and Contingencies &amp; Preliminary &amp; Pre-operative expenses</w:t>
            </w:r>
            <w:r>
              <w:rPr>
                <w:rFonts w:asciiTheme="minorHAnsi" w:hAnsiTheme="minorHAnsi" w:cstheme="minorHAnsi"/>
                <w:sz w:val="22"/>
                <w:szCs w:val="22"/>
              </w:rPr>
              <w:t>.</w:t>
            </w:r>
          </w:p>
          <w:p w:rsidR="009422B9"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Pr>
                <w:rFonts w:asciiTheme="minorHAnsi" w:hAnsiTheme="minorHAnsi" w:cstheme="minorHAnsi"/>
                <w:sz w:val="22"/>
                <w:szCs w:val="22"/>
              </w:rPr>
              <w:t>Thus, ~INR 7.39</w:t>
            </w:r>
            <w:r w:rsidRPr="00F114D2">
              <w:rPr>
                <w:rFonts w:asciiTheme="minorHAnsi" w:hAnsiTheme="minorHAnsi" w:cstheme="minorHAnsi"/>
                <w:sz w:val="22"/>
                <w:szCs w:val="22"/>
              </w:rPr>
              <w:t xml:space="preserve"> Crore per MW is the expec</w:t>
            </w:r>
            <w:r>
              <w:rPr>
                <w:rFonts w:asciiTheme="minorHAnsi" w:hAnsiTheme="minorHAnsi" w:cstheme="minorHAnsi"/>
                <w:sz w:val="22"/>
                <w:szCs w:val="22"/>
              </w:rPr>
              <w:t>ted CAPEX for the proposed 63.30</w:t>
            </w:r>
            <w:r w:rsidRPr="00F114D2">
              <w:rPr>
                <w:rFonts w:asciiTheme="minorHAnsi" w:hAnsiTheme="minorHAnsi" w:cstheme="minorHAnsi"/>
                <w:sz w:val="22"/>
                <w:szCs w:val="22"/>
              </w:rPr>
              <w:t xml:space="preserve"> M</w:t>
            </w:r>
            <w:r>
              <w:rPr>
                <w:rFonts w:asciiTheme="minorHAnsi" w:hAnsiTheme="minorHAnsi" w:cstheme="minorHAnsi"/>
                <w:sz w:val="22"/>
                <w:szCs w:val="22"/>
              </w:rPr>
              <w:t>W Wind Solar Hybrid power plant, which seems to be reasonable and in the line with industrial benchmark.</w:t>
            </w:r>
          </w:p>
          <w:p w:rsidR="009422B9" w:rsidRPr="00F114D2" w:rsidRDefault="009422B9" w:rsidP="009422B9">
            <w:pPr>
              <w:pStyle w:val="ListParagraph"/>
              <w:numPr>
                <w:ilvl w:val="1"/>
                <w:numId w:val="2"/>
              </w:numPr>
              <w:spacing w:before="240" w:line="360" w:lineRule="auto"/>
              <w:ind w:left="333"/>
              <w:jc w:val="both"/>
              <w:rPr>
                <w:rFonts w:asciiTheme="minorHAnsi" w:hAnsiTheme="minorHAnsi" w:cstheme="minorHAnsi"/>
                <w:sz w:val="22"/>
                <w:szCs w:val="22"/>
              </w:rPr>
            </w:pPr>
            <w:r w:rsidRPr="00F114D2">
              <w:rPr>
                <w:rFonts w:asciiTheme="minorHAnsi" w:hAnsiTheme="minorHAnsi" w:cstheme="minorHAnsi"/>
                <w:sz w:val="22"/>
                <w:szCs w:val="22"/>
              </w:rPr>
              <w:t xml:space="preserve">Per MW cost of Solar and Wind power plants are in the line with market trends. The cost of a 1 MW solar power plant in India is typically between ₹4 and ₹5 crores. The cost depends on several factors, including: Solar panels, Land, Balance of system (BOS) components, Installation challenges, Batteries. For reference </w:t>
            </w:r>
            <w:proofErr w:type="spellStart"/>
            <w:r w:rsidRPr="00F114D2">
              <w:rPr>
                <w:rFonts w:asciiTheme="minorHAnsi" w:hAnsiTheme="minorHAnsi" w:cstheme="minorHAnsi"/>
                <w:sz w:val="22"/>
                <w:szCs w:val="22"/>
              </w:rPr>
              <w:t>Amplus</w:t>
            </w:r>
            <w:proofErr w:type="spellEnd"/>
            <w:r w:rsidRPr="00F114D2">
              <w:rPr>
                <w:rFonts w:asciiTheme="minorHAnsi" w:hAnsiTheme="minorHAnsi" w:cstheme="minorHAnsi"/>
                <w:sz w:val="22"/>
                <w:szCs w:val="22"/>
              </w:rPr>
              <w:t xml:space="preserve"> Solar </w:t>
            </w:r>
            <w:r w:rsidRPr="00F114D2">
              <w:rPr>
                <w:rFonts w:asciiTheme="minorHAnsi" w:hAnsiTheme="minorHAnsi" w:cstheme="minorHAnsi"/>
                <w:i/>
                <w:sz w:val="22"/>
                <w:szCs w:val="22"/>
              </w:rPr>
              <w:t>(</w:t>
            </w:r>
            <w:hyperlink r:id="rId5" w:history="1">
              <w:r w:rsidRPr="00F114D2">
                <w:rPr>
                  <w:rStyle w:val="Hyperlink"/>
                  <w:rFonts w:asciiTheme="minorHAnsi" w:hAnsiTheme="minorHAnsi" w:cstheme="minorHAnsi"/>
                  <w:i/>
                  <w:sz w:val="22"/>
                  <w:szCs w:val="22"/>
                </w:rPr>
                <w:t>https://amplussolar.com/blogs/1mw-solar-power-plant</w:t>
              </w:r>
            </w:hyperlink>
            <w:r w:rsidRPr="00F114D2">
              <w:rPr>
                <w:rFonts w:asciiTheme="minorHAnsi" w:hAnsiTheme="minorHAnsi" w:cstheme="minorHAnsi"/>
                <w:i/>
                <w:sz w:val="22"/>
                <w:szCs w:val="22"/>
              </w:rPr>
              <w:t xml:space="preserve">) </w:t>
            </w:r>
            <w:r w:rsidRPr="00F114D2">
              <w:rPr>
                <w:rFonts w:asciiTheme="minorHAnsi" w:hAnsiTheme="minorHAnsi" w:cstheme="minorHAnsi"/>
                <w:sz w:val="22"/>
                <w:szCs w:val="22"/>
              </w:rPr>
              <w:t xml:space="preserve">and </w:t>
            </w:r>
            <w:proofErr w:type="spellStart"/>
            <w:r w:rsidRPr="00F114D2">
              <w:rPr>
                <w:rFonts w:asciiTheme="minorHAnsi" w:hAnsiTheme="minorHAnsi" w:cstheme="minorHAnsi"/>
                <w:sz w:val="22"/>
                <w:szCs w:val="22"/>
              </w:rPr>
              <w:t>Waree</w:t>
            </w:r>
            <w:proofErr w:type="spellEnd"/>
            <w:r w:rsidRPr="00F114D2">
              <w:rPr>
                <w:rFonts w:asciiTheme="minorHAnsi" w:hAnsiTheme="minorHAnsi" w:cstheme="minorHAnsi"/>
                <w:sz w:val="22"/>
                <w:szCs w:val="22"/>
              </w:rPr>
              <w:t xml:space="preserve"> </w:t>
            </w:r>
            <w:r w:rsidRPr="00F114D2">
              <w:rPr>
                <w:rFonts w:asciiTheme="minorHAnsi" w:hAnsiTheme="minorHAnsi" w:cstheme="minorHAnsi"/>
                <w:i/>
                <w:sz w:val="22"/>
                <w:szCs w:val="22"/>
              </w:rPr>
              <w:t>(</w:t>
            </w:r>
            <w:hyperlink r:id="rId6" w:history="1">
              <w:r w:rsidRPr="00F114D2">
                <w:rPr>
                  <w:rStyle w:val="Hyperlink"/>
                  <w:rFonts w:asciiTheme="minorHAnsi" w:hAnsiTheme="minorHAnsi" w:cstheme="minorHAnsi"/>
                  <w:i/>
                  <w:sz w:val="22"/>
                  <w:szCs w:val="22"/>
                </w:rPr>
                <w:t>https://waaree.com/blog/5-mw-solar-power-energy-plant-in-india-profit-cost-land-requirement/</w:t>
              </w:r>
            </w:hyperlink>
            <w:r w:rsidRPr="00F114D2">
              <w:rPr>
                <w:rFonts w:asciiTheme="minorHAnsi" w:hAnsiTheme="minorHAnsi" w:cstheme="minorHAnsi"/>
                <w:i/>
                <w:sz w:val="22"/>
                <w:szCs w:val="22"/>
              </w:rPr>
              <w:t>)</w:t>
            </w:r>
            <w:r>
              <w:rPr>
                <w:rFonts w:asciiTheme="minorHAnsi" w:hAnsiTheme="minorHAnsi" w:cstheme="minorHAnsi"/>
                <w:sz w:val="22"/>
                <w:szCs w:val="22"/>
              </w:rPr>
              <w:t xml:space="preserve"> </w:t>
            </w:r>
            <w:r w:rsidRPr="00F114D2">
              <w:rPr>
                <w:rFonts w:asciiTheme="minorHAnsi" w:hAnsiTheme="minorHAnsi" w:cstheme="minorHAnsi"/>
                <w:sz w:val="22"/>
                <w:szCs w:val="22"/>
              </w:rPr>
              <w:t>are known name in this field.</w:t>
            </w:r>
          </w:p>
          <w:p w:rsidR="009422B9" w:rsidRPr="00990594" w:rsidRDefault="009422B9" w:rsidP="00122E97">
            <w:pPr>
              <w:pStyle w:val="ListParagraph"/>
              <w:spacing w:before="240" w:line="360" w:lineRule="auto"/>
              <w:ind w:left="333"/>
              <w:jc w:val="both"/>
              <w:rPr>
                <w:rFonts w:asciiTheme="minorHAnsi" w:hAnsiTheme="minorHAnsi" w:cstheme="minorHAnsi"/>
                <w:sz w:val="22"/>
                <w:szCs w:val="22"/>
              </w:rPr>
            </w:pPr>
            <w:r w:rsidRPr="00F114D2">
              <w:rPr>
                <w:rFonts w:asciiTheme="minorHAnsi" w:hAnsiTheme="minorHAnsi" w:cstheme="minorHAnsi"/>
                <w:sz w:val="22"/>
                <w:szCs w:val="22"/>
              </w:rPr>
              <w:t xml:space="preserve">Similarly, According to a report by the Ministry of New and Renewable Energy in India, the capital cost of wind power projects in India ranges from INR 5.5 crore per MW to INR 6.5 crore per MW (approximately USD 750,000 to USD 880,000 per MW) for onshore wind projects, and from INR 8.5 crore per MW to INR 12 crore per MW (approximately USD 1.2 million to USD 1.6 million per MW) for offshore wind project. </w:t>
            </w:r>
            <w:r w:rsidRPr="00F114D2">
              <w:rPr>
                <w:rFonts w:asciiTheme="minorHAnsi" w:hAnsiTheme="minorHAnsi" w:cstheme="minorHAnsi"/>
                <w:i/>
                <w:sz w:val="22"/>
                <w:szCs w:val="22"/>
              </w:rPr>
              <w:t>(</w:t>
            </w:r>
            <w:hyperlink r:id="rId7" w:anchor=":~:text=According%20to%20a%20report%20by,INR%2012%20crore%20per%20MW%20" w:history="1">
              <w:r w:rsidRPr="00F114D2">
                <w:rPr>
                  <w:rStyle w:val="Hyperlink"/>
                  <w:rFonts w:asciiTheme="minorHAnsi" w:hAnsiTheme="minorHAnsi" w:cstheme="minorHAnsi"/>
                  <w:i/>
                  <w:sz w:val="22"/>
                  <w:szCs w:val="22"/>
                </w:rPr>
                <w:t>https://www.linkedin.com/pulse/india-wind-energy-potential-quesrow#:~:text=According%20to%20a%20report%20by,INR%2012%20crore%20per%20MW%20</w:t>
              </w:r>
            </w:hyperlink>
            <w:r w:rsidRPr="00F114D2">
              <w:rPr>
                <w:rFonts w:asciiTheme="minorHAnsi" w:hAnsiTheme="minorHAnsi" w:cstheme="minorHAnsi"/>
                <w:i/>
                <w:sz w:val="22"/>
                <w:szCs w:val="22"/>
              </w:rPr>
              <w:t>).</w:t>
            </w:r>
            <w:r>
              <w:rPr>
                <w:rFonts w:asciiTheme="minorHAnsi" w:hAnsiTheme="minorHAnsi" w:cstheme="minorHAnsi"/>
                <w:sz w:val="22"/>
                <w:szCs w:val="22"/>
              </w:rPr>
              <w:t xml:space="preserve"> </w:t>
            </w:r>
          </w:p>
        </w:tc>
      </w:tr>
      <w:tr w:rsidR="009422B9" w:rsidRPr="004574B2" w:rsidTr="00122E97">
        <w:trPr>
          <w:trHeight w:val="1269"/>
        </w:trPr>
        <w:tc>
          <w:tcPr>
            <w:tcW w:w="530" w:type="pct"/>
            <w:shd w:val="clear" w:color="auto" w:fill="auto"/>
            <w:vAlign w:val="center"/>
          </w:tcPr>
          <w:p w:rsidR="009422B9" w:rsidRPr="004574B2" w:rsidRDefault="009422B9" w:rsidP="009422B9">
            <w:pPr>
              <w:pStyle w:val="ListParagraph"/>
              <w:numPr>
                <w:ilvl w:val="0"/>
                <w:numId w:val="1"/>
              </w:numPr>
              <w:spacing w:after="160" w:line="360" w:lineRule="auto"/>
              <w:jc w:val="center"/>
              <w:rPr>
                <w:rFonts w:asciiTheme="minorHAnsi" w:hAnsiTheme="minorHAnsi" w:cstheme="minorHAnsi"/>
                <w:b/>
                <w:bCs/>
                <w:sz w:val="22"/>
                <w:szCs w:val="22"/>
              </w:rPr>
            </w:pPr>
          </w:p>
        </w:tc>
        <w:tc>
          <w:tcPr>
            <w:tcW w:w="985" w:type="pct"/>
            <w:shd w:val="clear" w:color="auto" w:fill="auto"/>
            <w:vAlign w:val="center"/>
          </w:tcPr>
          <w:p w:rsidR="009422B9" w:rsidRPr="004574B2" w:rsidRDefault="009422B9" w:rsidP="00122E97">
            <w:pPr>
              <w:spacing w:line="360" w:lineRule="auto"/>
              <w:rPr>
                <w:rFonts w:asciiTheme="minorHAnsi" w:hAnsiTheme="minorHAnsi" w:cstheme="minorHAnsi"/>
                <w:b/>
                <w:bCs/>
                <w:sz w:val="22"/>
                <w:szCs w:val="22"/>
              </w:rPr>
            </w:pPr>
            <w:r w:rsidRPr="004574B2">
              <w:rPr>
                <w:rFonts w:asciiTheme="minorHAnsi" w:hAnsiTheme="minorHAnsi" w:cstheme="minorHAnsi"/>
                <w:b/>
                <w:bCs/>
                <w:sz w:val="22"/>
                <w:szCs w:val="22"/>
              </w:rPr>
              <w:t>Expenses</w:t>
            </w:r>
          </w:p>
        </w:tc>
        <w:tc>
          <w:tcPr>
            <w:tcW w:w="3485" w:type="pct"/>
            <w:shd w:val="clear" w:color="auto" w:fill="auto"/>
          </w:tcPr>
          <w:p w:rsidR="009422B9" w:rsidRDefault="009422B9" w:rsidP="009422B9">
            <w:pPr>
              <w:pStyle w:val="ListParagraph"/>
              <w:numPr>
                <w:ilvl w:val="1"/>
                <w:numId w:val="4"/>
              </w:numPr>
              <w:spacing w:before="240" w:line="360" w:lineRule="auto"/>
              <w:ind w:left="339"/>
              <w:jc w:val="both"/>
              <w:rPr>
                <w:rFonts w:asciiTheme="minorHAnsi" w:hAnsiTheme="minorHAnsi" w:cstheme="minorHAnsi"/>
                <w:sz w:val="22"/>
                <w:szCs w:val="22"/>
              </w:rPr>
            </w:pPr>
            <w:r>
              <w:rPr>
                <w:rFonts w:asciiTheme="minorHAnsi" w:hAnsiTheme="minorHAnsi" w:cstheme="minorHAnsi"/>
                <w:sz w:val="22"/>
                <w:szCs w:val="22"/>
              </w:rPr>
              <w:t>O&amp;M Expenses are considered as INR 1</w:t>
            </w:r>
            <w:proofErr w:type="gramStart"/>
            <w:r>
              <w:rPr>
                <w:rFonts w:asciiTheme="minorHAnsi" w:hAnsiTheme="minorHAnsi" w:cstheme="minorHAnsi"/>
                <w:sz w:val="22"/>
                <w:szCs w:val="22"/>
              </w:rPr>
              <w:t>,26,00,000</w:t>
            </w:r>
            <w:proofErr w:type="gramEnd"/>
            <w:r>
              <w:rPr>
                <w:rFonts w:asciiTheme="minorHAnsi" w:hAnsiTheme="minorHAnsi" w:cstheme="minorHAnsi"/>
                <w:sz w:val="22"/>
                <w:szCs w:val="22"/>
              </w:rPr>
              <w:t xml:space="preserve"> and INR 3,00,84,600 yearly for Solar and Wind Plant respectively as per the EPC agreement. As per EPC, 2 years of O&amp;M will be free. An escalation of 5% in O&amp;M are considered for Solar and Wind Plant respectively both as per the terms &amp; conditions defined in EPC agreement.</w:t>
            </w:r>
          </w:p>
          <w:p w:rsidR="009422B9" w:rsidRDefault="009422B9" w:rsidP="009422B9">
            <w:pPr>
              <w:pStyle w:val="ListParagraph"/>
              <w:numPr>
                <w:ilvl w:val="1"/>
                <w:numId w:val="4"/>
              </w:numPr>
              <w:spacing w:before="240" w:line="360" w:lineRule="auto"/>
              <w:ind w:left="339"/>
              <w:jc w:val="both"/>
              <w:rPr>
                <w:rFonts w:asciiTheme="minorHAnsi" w:hAnsiTheme="minorHAnsi" w:cstheme="minorHAnsi"/>
                <w:sz w:val="22"/>
                <w:szCs w:val="22"/>
              </w:rPr>
            </w:pPr>
            <w:r w:rsidRPr="00B26E62">
              <w:rPr>
                <w:rFonts w:asciiTheme="minorHAnsi" w:hAnsiTheme="minorHAnsi" w:cstheme="minorHAnsi"/>
                <w:sz w:val="22"/>
                <w:szCs w:val="22"/>
              </w:rPr>
              <w:t>Banking Charges and Multi-Wheeling Charges</w:t>
            </w:r>
            <w:r>
              <w:rPr>
                <w:rFonts w:asciiTheme="minorHAnsi" w:hAnsiTheme="minorHAnsi" w:cstheme="minorHAnsi"/>
                <w:sz w:val="22"/>
                <w:szCs w:val="22"/>
              </w:rPr>
              <w:t xml:space="preserve"> are considered as 0.20 per unit as defined in the EPC agreement.</w:t>
            </w:r>
          </w:p>
          <w:p w:rsidR="009422B9" w:rsidRDefault="009422B9" w:rsidP="009422B9">
            <w:pPr>
              <w:pStyle w:val="ListParagraph"/>
              <w:numPr>
                <w:ilvl w:val="1"/>
                <w:numId w:val="4"/>
              </w:numPr>
              <w:spacing w:before="240" w:line="360" w:lineRule="auto"/>
              <w:ind w:left="339"/>
              <w:jc w:val="both"/>
              <w:rPr>
                <w:rFonts w:asciiTheme="minorHAnsi" w:hAnsiTheme="minorHAnsi" w:cstheme="minorHAnsi"/>
                <w:sz w:val="22"/>
                <w:szCs w:val="22"/>
              </w:rPr>
            </w:pPr>
            <w:r w:rsidRPr="00B26E62">
              <w:rPr>
                <w:rFonts w:asciiTheme="minorHAnsi" w:hAnsiTheme="minorHAnsi" w:cstheme="minorHAnsi"/>
                <w:sz w:val="22"/>
                <w:szCs w:val="22"/>
              </w:rPr>
              <w:t xml:space="preserve">State Load </w:t>
            </w:r>
            <w:proofErr w:type="spellStart"/>
            <w:r w:rsidRPr="00B26E62">
              <w:rPr>
                <w:rFonts w:asciiTheme="minorHAnsi" w:hAnsiTheme="minorHAnsi" w:cstheme="minorHAnsi"/>
                <w:sz w:val="22"/>
                <w:szCs w:val="22"/>
              </w:rPr>
              <w:t>Despatch</w:t>
            </w:r>
            <w:proofErr w:type="spellEnd"/>
            <w:r w:rsidRPr="00B26E62">
              <w:rPr>
                <w:rFonts w:asciiTheme="minorHAnsi" w:hAnsiTheme="minorHAnsi" w:cstheme="minorHAnsi"/>
                <w:sz w:val="22"/>
                <w:szCs w:val="22"/>
              </w:rPr>
              <w:t xml:space="preserve"> Centre</w:t>
            </w:r>
            <w:r>
              <w:rPr>
                <w:rFonts w:asciiTheme="minorHAnsi" w:hAnsiTheme="minorHAnsi" w:cstheme="minorHAnsi"/>
                <w:sz w:val="22"/>
                <w:szCs w:val="22"/>
              </w:rPr>
              <w:t xml:space="preserve"> (SLDC) are considered as INR 614.45 per day as per the government policy and terms &amp; conditions mentioned in EPC agreement.</w:t>
            </w:r>
          </w:p>
          <w:p w:rsidR="009422B9" w:rsidRDefault="009422B9" w:rsidP="009422B9">
            <w:pPr>
              <w:pStyle w:val="ListParagraph"/>
              <w:numPr>
                <w:ilvl w:val="1"/>
                <w:numId w:val="4"/>
              </w:numPr>
              <w:spacing w:before="240" w:line="360" w:lineRule="auto"/>
              <w:ind w:left="339"/>
              <w:jc w:val="both"/>
              <w:rPr>
                <w:rFonts w:asciiTheme="minorHAnsi" w:hAnsiTheme="minorHAnsi" w:cstheme="minorHAnsi"/>
                <w:sz w:val="22"/>
                <w:szCs w:val="22"/>
              </w:rPr>
            </w:pPr>
            <w:r>
              <w:rPr>
                <w:rFonts w:asciiTheme="minorHAnsi" w:hAnsiTheme="minorHAnsi" w:cstheme="minorHAnsi"/>
                <w:sz w:val="22"/>
                <w:szCs w:val="22"/>
              </w:rPr>
              <w:t>Transmission charges are considered as INR 4400 per MW Per day as per the government policy and terms &amp; conditions mentioned in EPC agreement.</w:t>
            </w:r>
          </w:p>
          <w:p w:rsidR="009422B9" w:rsidRPr="005C774A" w:rsidRDefault="009422B9" w:rsidP="009422B9">
            <w:pPr>
              <w:pStyle w:val="ListParagraph"/>
              <w:numPr>
                <w:ilvl w:val="1"/>
                <w:numId w:val="4"/>
              </w:numPr>
              <w:spacing w:before="240" w:line="360" w:lineRule="auto"/>
              <w:ind w:left="339"/>
              <w:jc w:val="both"/>
              <w:rPr>
                <w:rFonts w:asciiTheme="minorHAnsi" w:hAnsiTheme="minorHAnsi" w:cstheme="minorHAnsi"/>
                <w:sz w:val="22"/>
                <w:szCs w:val="22"/>
              </w:rPr>
            </w:pPr>
            <w:r w:rsidRPr="005C774A">
              <w:rPr>
                <w:rFonts w:asciiTheme="minorHAnsi" w:hAnsiTheme="minorHAnsi" w:cstheme="minorHAnsi"/>
                <w:sz w:val="22"/>
                <w:szCs w:val="22"/>
              </w:rPr>
              <w:t>Forecasting &amp; Scheduling, GEDA Certification Charges and GETCO Feeder Bay Maintenance Charges</w:t>
            </w:r>
            <w:r>
              <w:rPr>
                <w:rFonts w:asciiTheme="minorHAnsi" w:hAnsiTheme="minorHAnsi" w:cstheme="minorHAnsi"/>
                <w:sz w:val="22"/>
                <w:szCs w:val="22"/>
              </w:rPr>
              <w:t xml:space="preserve"> are considered as INR 1500 per MW per month, INR 12000 per MW per year and INR 60000 per MW per year respectively as per EPC agreement.</w:t>
            </w:r>
          </w:p>
          <w:p w:rsidR="009422B9" w:rsidRDefault="009422B9" w:rsidP="009422B9">
            <w:pPr>
              <w:pStyle w:val="ListParagraph"/>
              <w:numPr>
                <w:ilvl w:val="1"/>
                <w:numId w:val="4"/>
              </w:numPr>
              <w:spacing w:before="240" w:line="360" w:lineRule="auto"/>
              <w:ind w:left="339"/>
              <w:jc w:val="both"/>
              <w:rPr>
                <w:rFonts w:asciiTheme="minorHAnsi" w:hAnsiTheme="minorHAnsi" w:cstheme="minorHAnsi"/>
                <w:sz w:val="22"/>
                <w:szCs w:val="22"/>
              </w:rPr>
            </w:pPr>
            <w:r>
              <w:rPr>
                <w:rFonts w:asciiTheme="minorHAnsi" w:hAnsiTheme="minorHAnsi" w:cstheme="minorHAnsi"/>
                <w:sz w:val="22"/>
                <w:szCs w:val="22"/>
              </w:rPr>
              <w:t>Lease rental for land are INR 0.50 lakhs per acre and INR 3 lakhs per acre for solar and wind respectively as per the EPC agreement. An escalation of 7% every 3 year is considered as per EPC terms &amp; condition.</w:t>
            </w:r>
          </w:p>
          <w:p w:rsidR="009422B9" w:rsidRPr="00B26E62" w:rsidRDefault="009422B9" w:rsidP="009422B9">
            <w:pPr>
              <w:pStyle w:val="ListParagraph"/>
              <w:numPr>
                <w:ilvl w:val="1"/>
                <w:numId w:val="4"/>
              </w:numPr>
              <w:spacing w:before="240" w:line="360" w:lineRule="auto"/>
              <w:ind w:left="339"/>
              <w:jc w:val="both"/>
              <w:rPr>
                <w:rFonts w:asciiTheme="minorHAnsi" w:hAnsiTheme="minorHAnsi" w:cstheme="minorHAnsi"/>
                <w:sz w:val="22"/>
                <w:szCs w:val="22"/>
              </w:rPr>
            </w:pPr>
            <w:r>
              <w:rPr>
                <w:rFonts w:asciiTheme="minorHAnsi" w:hAnsiTheme="minorHAnsi" w:cstheme="minorHAnsi"/>
                <w:sz w:val="22"/>
                <w:szCs w:val="22"/>
              </w:rPr>
              <w:t>Insurance expenses are considered as 0.10 of WDV net block y-o-y basis.</w:t>
            </w:r>
          </w:p>
        </w:tc>
      </w:tr>
      <w:tr w:rsidR="009422B9" w:rsidRPr="004574B2" w:rsidTr="00122E97">
        <w:trPr>
          <w:trHeight w:val="1008"/>
        </w:trPr>
        <w:tc>
          <w:tcPr>
            <w:tcW w:w="530" w:type="pct"/>
            <w:shd w:val="clear" w:color="auto" w:fill="auto"/>
            <w:vAlign w:val="center"/>
          </w:tcPr>
          <w:p w:rsidR="009422B9" w:rsidRPr="004574B2" w:rsidRDefault="009422B9" w:rsidP="009422B9">
            <w:pPr>
              <w:pStyle w:val="ListParagraph"/>
              <w:numPr>
                <w:ilvl w:val="0"/>
                <w:numId w:val="1"/>
              </w:numPr>
              <w:spacing w:after="160" w:line="360" w:lineRule="auto"/>
              <w:jc w:val="center"/>
              <w:rPr>
                <w:rFonts w:asciiTheme="minorHAnsi" w:hAnsiTheme="minorHAnsi" w:cstheme="minorHAnsi"/>
                <w:b/>
                <w:bCs/>
                <w:sz w:val="22"/>
                <w:szCs w:val="22"/>
              </w:rPr>
            </w:pPr>
          </w:p>
        </w:tc>
        <w:tc>
          <w:tcPr>
            <w:tcW w:w="985" w:type="pct"/>
            <w:shd w:val="clear" w:color="auto" w:fill="auto"/>
            <w:vAlign w:val="center"/>
          </w:tcPr>
          <w:p w:rsidR="009422B9" w:rsidRPr="004574B2" w:rsidRDefault="009422B9" w:rsidP="00122E97">
            <w:pPr>
              <w:spacing w:line="360" w:lineRule="auto"/>
              <w:rPr>
                <w:rFonts w:asciiTheme="minorHAnsi" w:hAnsiTheme="minorHAnsi" w:cstheme="minorHAnsi"/>
                <w:b/>
                <w:bCs/>
                <w:sz w:val="22"/>
                <w:szCs w:val="22"/>
              </w:rPr>
            </w:pPr>
            <w:r>
              <w:rPr>
                <w:rFonts w:asciiTheme="minorHAnsi" w:hAnsiTheme="minorHAnsi" w:cstheme="minorHAnsi"/>
                <w:b/>
                <w:bCs/>
                <w:sz w:val="22"/>
                <w:szCs w:val="22"/>
              </w:rPr>
              <w:t>Project Funding Assumptions</w:t>
            </w:r>
          </w:p>
        </w:tc>
        <w:tc>
          <w:tcPr>
            <w:tcW w:w="3485" w:type="pct"/>
            <w:shd w:val="clear" w:color="auto" w:fill="auto"/>
          </w:tcPr>
          <w:p w:rsidR="009422B9" w:rsidRPr="006A76AE" w:rsidRDefault="009422B9" w:rsidP="009422B9">
            <w:pPr>
              <w:pStyle w:val="ListParagraph"/>
              <w:numPr>
                <w:ilvl w:val="1"/>
                <w:numId w:val="3"/>
              </w:numPr>
              <w:spacing w:before="240" w:after="240" w:line="360" w:lineRule="auto"/>
              <w:ind w:left="339"/>
              <w:jc w:val="both"/>
              <w:rPr>
                <w:rFonts w:asciiTheme="minorHAnsi" w:hAnsiTheme="minorHAnsi" w:cstheme="minorHAnsi"/>
                <w:sz w:val="22"/>
                <w:szCs w:val="22"/>
              </w:rPr>
            </w:pPr>
            <w:r w:rsidRPr="00262BF2">
              <w:rPr>
                <w:rFonts w:asciiTheme="minorHAnsi" w:hAnsiTheme="minorHAnsi" w:cstheme="minorHAnsi"/>
                <w:sz w:val="22"/>
                <w:szCs w:val="22"/>
              </w:rPr>
              <w:t xml:space="preserve">The </w:t>
            </w:r>
            <w:r>
              <w:rPr>
                <w:rFonts w:asciiTheme="minorHAnsi" w:hAnsiTheme="minorHAnsi" w:cstheme="minorHAnsi"/>
                <w:sz w:val="22"/>
                <w:szCs w:val="22"/>
              </w:rPr>
              <w:t>captive hybrid power plant</w:t>
            </w:r>
            <w:r w:rsidRPr="00262BF2">
              <w:rPr>
                <w:rFonts w:asciiTheme="minorHAnsi" w:hAnsiTheme="minorHAnsi" w:cstheme="minorHAnsi"/>
                <w:sz w:val="22"/>
                <w:szCs w:val="22"/>
              </w:rPr>
              <w:t xml:space="preserve"> is proposed to be funded through </w:t>
            </w:r>
            <w:r w:rsidRPr="006A76AE">
              <w:rPr>
                <w:rFonts w:asciiTheme="minorHAnsi" w:hAnsiTheme="minorHAnsi" w:cstheme="minorHAnsi"/>
                <w:sz w:val="22"/>
                <w:szCs w:val="22"/>
              </w:rPr>
              <w:t>IPO Proceeds (Share capital + Share Premium)</w:t>
            </w:r>
            <w:r>
              <w:rPr>
                <w:rFonts w:asciiTheme="minorHAnsi" w:hAnsiTheme="minorHAnsi" w:cstheme="minorHAnsi"/>
                <w:sz w:val="22"/>
                <w:szCs w:val="22"/>
              </w:rPr>
              <w:t xml:space="preserve"> of INR 13,000.00 Lakhs and internal cash accruals of INR 33.44 Lakhs. </w:t>
            </w:r>
            <w:r w:rsidRPr="006A76AE">
              <w:rPr>
                <w:rFonts w:asciiTheme="minorHAnsi" w:hAnsiTheme="minorHAnsi" w:cstheme="minorHAnsi"/>
                <w:sz w:val="22"/>
                <w:szCs w:val="22"/>
              </w:rPr>
              <w:t xml:space="preserve"> </w:t>
            </w:r>
          </w:p>
        </w:tc>
      </w:tr>
    </w:tbl>
    <w:p w:rsidR="00B02536" w:rsidRDefault="00B02536"/>
    <w:p w:rsidR="00140DA5" w:rsidRDefault="00140DA5">
      <w:pPr>
        <w:spacing w:after="160" w:line="259" w:lineRule="auto"/>
      </w:pPr>
      <w:r>
        <w:br w:type="page"/>
      </w:r>
    </w:p>
    <w:p w:rsidR="00140DA5" w:rsidRDefault="00140DA5" w:rsidP="00140DA5">
      <w:pPr>
        <w:pStyle w:val="ListParagraph"/>
        <w:numPr>
          <w:ilvl w:val="0"/>
          <w:numId w:val="6"/>
        </w:numPr>
        <w:spacing w:line="360" w:lineRule="auto"/>
        <w:ind w:left="709" w:right="-143" w:hanging="425"/>
        <w:jc w:val="both"/>
        <w:rPr>
          <w:rFonts w:ascii="Arial" w:hAnsi="Arial" w:cs="Arial"/>
          <w:b/>
          <w:sz w:val="22"/>
        </w:rPr>
      </w:pPr>
      <w:r w:rsidRPr="004E795E">
        <w:rPr>
          <w:rFonts w:ascii="Arial" w:hAnsi="Arial" w:cs="Arial"/>
          <w:b/>
          <w:sz w:val="22"/>
        </w:rPr>
        <w:t>INTRODUCTION:</w:t>
      </w:r>
    </w:p>
    <w:p w:rsidR="00140DA5" w:rsidRPr="00B905B0" w:rsidRDefault="00140DA5" w:rsidP="00140DA5">
      <w:pPr>
        <w:pStyle w:val="ListParagraph"/>
        <w:spacing w:before="240" w:line="360" w:lineRule="auto"/>
        <w:ind w:left="709" w:right="-8"/>
        <w:jc w:val="both"/>
        <w:rPr>
          <w:rFonts w:ascii="Arial" w:hAnsi="Arial" w:cs="Arial"/>
          <w:sz w:val="22"/>
        </w:rPr>
      </w:pPr>
      <w:r w:rsidRPr="00B905B0">
        <w:rPr>
          <w:rFonts w:ascii="Arial" w:hAnsi="Arial" w:cs="Arial"/>
          <w:sz w:val="22"/>
        </w:rPr>
        <w:t>India's energy demand is expected to increase more than that of any other country in the coming decades due to its sheer size and enormous potential for growth and development. Therefore, most of this new energy demand must be met by low-carbon, renewable sources. India's announcement India that it intends to achieve net zero carbon emissions by 2070 and to meet 50% of its electricity needs from renewable sources by 2030 marks a historic point in the global effort to combat climate change.</w:t>
      </w:r>
    </w:p>
    <w:p w:rsidR="00140DA5" w:rsidRPr="00B905B0" w:rsidRDefault="00140DA5" w:rsidP="00140DA5">
      <w:pPr>
        <w:pStyle w:val="ListParagraph"/>
        <w:spacing w:before="240" w:line="360" w:lineRule="auto"/>
        <w:ind w:left="709" w:right="-8"/>
        <w:jc w:val="both"/>
        <w:rPr>
          <w:rFonts w:ascii="Arial" w:hAnsi="Arial" w:cs="Arial"/>
          <w:sz w:val="22"/>
        </w:rPr>
      </w:pPr>
      <w:r w:rsidRPr="00B905B0">
        <w:rPr>
          <w:rFonts w:ascii="Arial" w:hAnsi="Arial" w:cs="Arial"/>
          <w:sz w:val="22"/>
        </w:rPr>
        <w:t>India was ranked fourth in wind power capacity and solar power capacity, and fourth in renewable energy installed capacity, as of 2023. Installed renewable power generation capacity has increased at a fast pace over the past few years, posting a CAGR of 15.4% between FY16 and FY23. India has 125.15 GW of renewable energy capacity in FY23. India is the market with the fastest growth in renewable electricity, and by 2026, new capacity additions are expected to double.</w:t>
      </w:r>
    </w:p>
    <w:p w:rsidR="00140DA5" w:rsidRDefault="00140DA5" w:rsidP="00140DA5">
      <w:pPr>
        <w:pStyle w:val="ListParagraph"/>
        <w:spacing w:before="240" w:line="360" w:lineRule="auto"/>
        <w:ind w:left="709" w:right="-8"/>
        <w:jc w:val="both"/>
        <w:rPr>
          <w:rFonts w:ascii="Arial" w:hAnsi="Arial" w:cs="Arial"/>
          <w:sz w:val="22"/>
        </w:rPr>
      </w:pPr>
      <w:r w:rsidRPr="00B905B0">
        <w:rPr>
          <w:rFonts w:ascii="Arial" w:hAnsi="Arial" w:cs="Arial"/>
          <w:sz w:val="22"/>
        </w:rPr>
        <w:t xml:space="preserve">With the increased support of the Government and improved economics, the sector has become attractive from an investor’s perspective. As India looks to meet its energy demand on its own, which is expected to reach 15,820 </w:t>
      </w:r>
      <w:proofErr w:type="spellStart"/>
      <w:r w:rsidRPr="00B905B0">
        <w:rPr>
          <w:rFonts w:ascii="Arial" w:hAnsi="Arial" w:cs="Arial"/>
          <w:sz w:val="22"/>
        </w:rPr>
        <w:t>TWh</w:t>
      </w:r>
      <w:proofErr w:type="spellEnd"/>
      <w:r w:rsidRPr="00B905B0">
        <w:rPr>
          <w:rFonts w:ascii="Arial" w:hAnsi="Arial" w:cs="Arial"/>
          <w:sz w:val="22"/>
        </w:rPr>
        <w:t xml:space="preserve"> by 2040, renewable energy is set to play an important role.</w:t>
      </w:r>
    </w:p>
    <w:p w:rsidR="00140DA5" w:rsidRPr="00B905B0" w:rsidRDefault="00140DA5" w:rsidP="00140DA5">
      <w:pPr>
        <w:pStyle w:val="ListParagraph"/>
        <w:spacing w:before="240" w:line="360" w:lineRule="auto"/>
        <w:ind w:left="709" w:right="-8"/>
        <w:jc w:val="both"/>
        <w:rPr>
          <w:rFonts w:ascii="Arial" w:hAnsi="Arial" w:cs="Arial"/>
          <w:sz w:val="22"/>
        </w:rPr>
      </w:pPr>
      <w:r>
        <w:rPr>
          <w:rFonts w:ascii="Bookman Old Style" w:hAnsi="Bookman Old Style" w:cs="Arial"/>
          <w:noProof/>
          <w:color w:val="002060"/>
          <w:spacing w:val="-4"/>
          <w:lang w:eastAsia="en-IN"/>
        </w:rPr>
        <w:drawing>
          <wp:inline distT="0" distB="0" distL="0" distR="0" wp14:anchorId="4A923AA9" wp14:editId="66E132A5">
            <wp:extent cx="5724525" cy="3238500"/>
            <wp:effectExtent l="19050" t="19050" r="28575" b="190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040B864.tmp"/>
                    <pic:cNvPicPr/>
                  </pic:nvPicPr>
                  <pic:blipFill>
                    <a:blip r:embed="rId8">
                      <a:extLst>
                        <a:ext uri="{28A0092B-C50C-407E-A947-70E740481C1C}">
                          <a14:useLocalDpi xmlns:a14="http://schemas.microsoft.com/office/drawing/2010/main" val="0"/>
                        </a:ext>
                      </a:extLst>
                    </a:blip>
                    <a:stretch>
                      <a:fillRect/>
                    </a:stretch>
                  </pic:blipFill>
                  <pic:spPr>
                    <a:xfrm>
                      <a:off x="0" y="0"/>
                      <a:ext cx="5725331" cy="3238956"/>
                    </a:xfrm>
                    <a:prstGeom prst="rect">
                      <a:avLst/>
                    </a:prstGeom>
                    <a:ln>
                      <a:solidFill>
                        <a:schemeClr val="tx1"/>
                      </a:solidFill>
                    </a:ln>
                  </pic:spPr>
                </pic:pic>
              </a:graphicData>
            </a:graphic>
          </wp:inline>
        </w:drawing>
      </w:r>
    </w:p>
    <w:p w:rsidR="00140DA5" w:rsidRDefault="00140DA5" w:rsidP="00140DA5">
      <w:pPr>
        <w:tabs>
          <w:tab w:val="left" w:pos="1335"/>
        </w:tabs>
        <w:ind w:left="709" w:right="-8"/>
        <w:rPr>
          <w:rFonts w:ascii="Arial" w:hAnsi="Arial" w:cs="Arial"/>
          <w:b/>
          <w:sz w:val="22"/>
        </w:rPr>
      </w:pPr>
      <w:r>
        <w:rPr>
          <w:rFonts w:ascii="Arial" w:hAnsi="Arial" w:cs="Arial"/>
          <w:b/>
          <w:sz w:val="22"/>
        </w:rPr>
        <w:tab/>
      </w:r>
      <w:r>
        <w:rPr>
          <w:rFonts w:ascii="Bookman Old Style" w:hAnsi="Bookman Old Style" w:cs="Arial"/>
          <w:noProof/>
          <w:color w:val="002060"/>
          <w:spacing w:val="-4"/>
          <w:lang w:eastAsia="en-IN"/>
        </w:rPr>
        <w:drawing>
          <wp:inline distT="0" distB="0" distL="0" distR="0" wp14:anchorId="6860C831" wp14:editId="63ED015A">
            <wp:extent cx="5734050" cy="2886075"/>
            <wp:effectExtent l="19050" t="19050" r="19050" b="285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0407C80.tmp"/>
                    <pic:cNvPicPr/>
                  </pic:nvPicPr>
                  <pic:blipFill>
                    <a:blip r:embed="rId9">
                      <a:extLst>
                        <a:ext uri="{28A0092B-C50C-407E-A947-70E740481C1C}">
                          <a14:useLocalDpi xmlns:a14="http://schemas.microsoft.com/office/drawing/2010/main" val="0"/>
                        </a:ext>
                      </a:extLst>
                    </a:blip>
                    <a:stretch>
                      <a:fillRect/>
                    </a:stretch>
                  </pic:blipFill>
                  <pic:spPr>
                    <a:xfrm>
                      <a:off x="0" y="0"/>
                      <a:ext cx="5734855" cy="2886480"/>
                    </a:xfrm>
                    <a:prstGeom prst="rect">
                      <a:avLst/>
                    </a:prstGeom>
                    <a:ln>
                      <a:solidFill>
                        <a:schemeClr val="tx1"/>
                      </a:solidFill>
                    </a:ln>
                  </pic:spPr>
                </pic:pic>
              </a:graphicData>
            </a:graphic>
          </wp:inline>
        </w:drawing>
      </w:r>
    </w:p>
    <w:p w:rsidR="00140DA5" w:rsidRDefault="00140DA5" w:rsidP="00140DA5">
      <w:pPr>
        <w:tabs>
          <w:tab w:val="left" w:pos="1335"/>
        </w:tabs>
        <w:ind w:left="709" w:right="-8"/>
        <w:rPr>
          <w:rFonts w:ascii="Arial" w:hAnsi="Arial" w:cs="Arial"/>
          <w:b/>
          <w:sz w:val="22"/>
        </w:rPr>
      </w:pPr>
      <w:r>
        <w:rPr>
          <w:rFonts w:ascii="Bookman Old Style" w:hAnsi="Bookman Old Style" w:cs="Arial"/>
          <w:noProof/>
          <w:color w:val="002060"/>
          <w:spacing w:val="-4"/>
          <w:lang w:eastAsia="en-IN"/>
        </w:rPr>
        <w:drawing>
          <wp:inline distT="0" distB="0" distL="0" distR="0" wp14:anchorId="1659B5B6" wp14:editId="0A9CBCB2">
            <wp:extent cx="5734050" cy="2000250"/>
            <wp:effectExtent l="19050" t="19050" r="19050" b="190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0407F4B.tmp"/>
                    <pic:cNvPicPr/>
                  </pic:nvPicPr>
                  <pic:blipFill>
                    <a:blip r:embed="rId10">
                      <a:extLst>
                        <a:ext uri="{28A0092B-C50C-407E-A947-70E740481C1C}">
                          <a14:useLocalDpi xmlns:a14="http://schemas.microsoft.com/office/drawing/2010/main" val="0"/>
                        </a:ext>
                      </a:extLst>
                    </a:blip>
                    <a:stretch>
                      <a:fillRect/>
                    </a:stretch>
                  </pic:blipFill>
                  <pic:spPr>
                    <a:xfrm>
                      <a:off x="0" y="0"/>
                      <a:ext cx="5734901" cy="2000547"/>
                    </a:xfrm>
                    <a:prstGeom prst="rect">
                      <a:avLst/>
                    </a:prstGeom>
                    <a:ln>
                      <a:solidFill>
                        <a:schemeClr val="tx1"/>
                      </a:solidFill>
                    </a:ln>
                  </pic:spPr>
                </pic:pic>
              </a:graphicData>
            </a:graphic>
          </wp:inline>
        </w:drawing>
      </w:r>
    </w:p>
    <w:p w:rsidR="00140DA5" w:rsidRDefault="00140DA5" w:rsidP="00140DA5">
      <w:pPr>
        <w:pStyle w:val="ListParagraph"/>
        <w:numPr>
          <w:ilvl w:val="0"/>
          <w:numId w:val="6"/>
        </w:numPr>
        <w:spacing w:before="240" w:line="360" w:lineRule="auto"/>
        <w:ind w:left="709" w:right="-8" w:hanging="425"/>
        <w:jc w:val="both"/>
        <w:rPr>
          <w:rFonts w:ascii="Arial" w:hAnsi="Arial" w:cs="Arial"/>
          <w:b/>
          <w:sz w:val="22"/>
        </w:rPr>
      </w:pPr>
      <w:r>
        <w:rPr>
          <w:rFonts w:ascii="Arial" w:hAnsi="Arial" w:cs="Arial"/>
          <w:b/>
          <w:sz w:val="22"/>
        </w:rPr>
        <w:t>MARKET SIZE</w:t>
      </w:r>
      <w:r w:rsidRPr="004E795E">
        <w:rPr>
          <w:rFonts w:ascii="Arial" w:hAnsi="Arial" w:cs="Arial"/>
          <w:b/>
          <w:sz w:val="22"/>
        </w:rPr>
        <w:t>:</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As of July 2024, Renewable energy sources, including biomass, waste to power and waste to energy, have a combined installed capacity of 150.27 GW.</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As of July 2024, 44% of the total power installed capacity is from non-fossil-based sources, which fulfils the target of 40% by the end of 2022.</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India's installed renewable energy capacity is expected to increase to about 170 GW by March 2025 from the level of 135 GW as of December 2023, according to research agency ICRA.</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The country is targeting about 450 Gigawatt (GW) of installed renewable energy capacity by 2030 – about 280 GW (over 60%) is expected from solar.</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The non-hydro renewable energy capacity addition stood at 4.2 GW for the first three months of FY23 against 2.6 GW for the first three months of FY22. According to research by the Council on Energy, Environment and Water's Centre for Energy Finance (CEEW-CEF), India's total installed power generation capacity reached 416 GW in FY23, of which 125 GW (30%) came from renewable energy (RE) and 47 GW (11%) comes from hydro.</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 xml:space="preserve">The electricity generation target (Including RE) for the year 2023-24 has been fixed as 1750 Billion Units (BU). </w:t>
      </w:r>
      <w:proofErr w:type="gramStart"/>
      <w:r w:rsidRPr="00B905B0">
        <w:rPr>
          <w:rFonts w:ascii="Arial" w:hAnsi="Arial" w:cs="Arial"/>
          <w:sz w:val="22"/>
        </w:rPr>
        <w:t>i.e</w:t>
      </w:r>
      <w:proofErr w:type="gramEnd"/>
      <w:r w:rsidRPr="00B905B0">
        <w:rPr>
          <w:rFonts w:ascii="Arial" w:hAnsi="Arial" w:cs="Arial"/>
          <w:sz w:val="22"/>
        </w:rPr>
        <w:t>. growth of around 7.2% over the actual generation of 1624.158 BU for the previous year (2022-23). The generation during 2022-23 was 1624.158 BU as compared to 1491.859 BU generated during 2021-22, representing a growth of about 8.87%</w:t>
      </w:r>
      <w:proofErr w:type="gramStart"/>
      <w:r w:rsidRPr="00B905B0">
        <w:rPr>
          <w:rFonts w:ascii="Arial" w:hAnsi="Arial" w:cs="Arial"/>
          <w:sz w:val="22"/>
        </w:rPr>
        <w:t>.</w:t>
      </w:r>
      <w:proofErr w:type="gramEnd"/>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The installed solar energy capacity has increased by 26 times in the last 9 years and stands at 73.32 GW as of December 2023. In 2023, India has added 7.5 GW of solar power capacity.</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During January 2024, the capacity addition from solar energy stood at 9008.47 MW.</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Solar power accounted for 16.9% of the total installed power capacity and 40.1% of the total installed renewable capacity at the end of December 2023. Solar power's share increased by 0.3% from the last quarter, when it accounted for 39.5% of the total renewable capacity.</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India has hydroelectric power projects with a total capacity of 15 GW under construction, which will increase the country's total hydro capacity from 42 GW to 67 GW by 2031-32, supported by IMD's prediction of higher rainfall and the government's proactive stance towards accelerated hydropower development.</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India has generated 75.57 BU of solar power in the first eleven months of FY24.</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Power generation from renewable energy sources (not including hydro) stood at 22.41 billion units (BU) in January 2024, down from 25.79 BU in January 2023.</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India added a record 18.48 GW of renewable energy capacity in 2023-24, a 21% increase over the previous year.</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Power generation from renewable energy sources (not including hydro) stood at 22.27 billion units (BU) in June 2024, up from 21.86 BU in June 2024.</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Power generation from renewable energy sources stood at 62.09 billion units (BU) between April-June 2024, up from 57.94 BU in the same period in the previous year.</w:t>
      </w:r>
    </w:p>
    <w:p w:rsidR="00140DA5" w:rsidRPr="00B905B0"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 xml:space="preserve">With a potential capacity of 363 GW and with policies focused on the renewable energy sector, Northern India is expected to become the hub for renewable energy in India. </w:t>
      </w:r>
    </w:p>
    <w:p w:rsidR="00140DA5" w:rsidRDefault="00140DA5" w:rsidP="00140DA5">
      <w:pPr>
        <w:pStyle w:val="ListParagraph"/>
        <w:numPr>
          <w:ilvl w:val="0"/>
          <w:numId w:val="6"/>
        </w:numPr>
        <w:spacing w:before="240" w:line="360" w:lineRule="auto"/>
        <w:ind w:left="709" w:right="-71" w:hanging="425"/>
        <w:jc w:val="both"/>
        <w:rPr>
          <w:rFonts w:ascii="Arial" w:hAnsi="Arial" w:cs="Arial"/>
          <w:b/>
          <w:sz w:val="22"/>
        </w:rPr>
      </w:pPr>
      <w:r>
        <w:rPr>
          <w:rFonts w:ascii="Arial" w:hAnsi="Arial" w:cs="Arial"/>
          <w:b/>
          <w:sz w:val="22"/>
        </w:rPr>
        <w:t>INVESTMENT</w:t>
      </w:r>
      <w:r w:rsidRPr="004E795E">
        <w:rPr>
          <w:rFonts w:ascii="Arial" w:hAnsi="Arial" w:cs="Arial"/>
          <w:b/>
          <w:sz w:val="22"/>
        </w:rPr>
        <w:t>:</w:t>
      </w:r>
    </w:p>
    <w:p w:rsidR="00140DA5" w:rsidRDefault="00140DA5" w:rsidP="00140DA5">
      <w:pPr>
        <w:pStyle w:val="ListParagraph"/>
        <w:spacing w:before="240" w:line="360" w:lineRule="auto"/>
        <w:ind w:left="709" w:right="-71"/>
        <w:jc w:val="both"/>
        <w:rPr>
          <w:rFonts w:ascii="Arial" w:hAnsi="Arial" w:cs="Arial"/>
          <w:sz w:val="22"/>
        </w:rPr>
      </w:pPr>
      <w:r w:rsidRPr="00B905B0">
        <w:rPr>
          <w:rFonts w:ascii="Arial" w:hAnsi="Arial" w:cs="Arial"/>
          <w:sz w:val="22"/>
        </w:rPr>
        <w:t xml:space="preserve">According to the data released by the Department for Promotion of Industry and Internal Trade (DPIIT), the non-conventional energy space in India has become highly attractive for investors and received an FDI inflow of US$ 15.36 billion </w:t>
      </w:r>
      <w:proofErr w:type="gramStart"/>
      <w:r w:rsidRPr="00B905B0">
        <w:rPr>
          <w:rFonts w:ascii="Arial" w:hAnsi="Arial" w:cs="Arial"/>
          <w:sz w:val="22"/>
        </w:rPr>
        <w:t>between April 2000-September 2023</w:t>
      </w:r>
      <w:proofErr w:type="gramEnd"/>
      <w:r w:rsidRPr="00B905B0">
        <w:rPr>
          <w:rFonts w:ascii="Arial" w:hAnsi="Arial" w:cs="Arial"/>
          <w:sz w:val="22"/>
        </w:rPr>
        <w:t xml:space="preserve">. More than </w:t>
      </w:r>
      <w:proofErr w:type="spellStart"/>
      <w:r w:rsidRPr="00B905B0">
        <w:rPr>
          <w:rFonts w:ascii="Arial" w:hAnsi="Arial" w:cs="Arial"/>
          <w:sz w:val="22"/>
        </w:rPr>
        <w:t>Rs</w:t>
      </w:r>
      <w:proofErr w:type="spellEnd"/>
      <w:r w:rsidRPr="00B905B0">
        <w:rPr>
          <w:rFonts w:ascii="Arial" w:hAnsi="Arial" w:cs="Arial"/>
          <w:sz w:val="22"/>
        </w:rPr>
        <w:t>. 5.2 lakh crore (US$ 70 billion) has been invested in India’s renewable energy sector since 2014. Some major investments and developments in the Indian renewable energy sector are as follows:</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India is set to significantly boost its renewable energy investments, with a projected increase of 83% to approximately US$ 16.5 billion in 2024, as part of its strategy to transition to cleaner energy sources and reduce carbon emissions.</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India is set to invest over US$ 360 billion in renewable energy and infrastructure by 2030, with US$ 190 billion to US$ 215 billion needed to achieve 500 GW of renewable capacity. An additional US$ 150 billion to US$ 170 billion will be required for electricity transmission and storage.</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Brookfield Asset Management plans to boost its investments in India’s renewable energy sector to over US$ 10 billion in the next three to four years, also exploring electric vehicles and green hydrogen.</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India's renewable energy sector set to attract over $250 billion in investments, with solar PV projects expecting $15.5 billion and battery manufacturing $2.7 billion.</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 xml:space="preserve">The non-conventional energy space in India has become highly attractive for investors and received an FDI inflow of US$ 17.88 billion </w:t>
      </w:r>
      <w:proofErr w:type="gramStart"/>
      <w:r w:rsidRPr="00B905B0">
        <w:rPr>
          <w:rFonts w:ascii="Arial" w:hAnsi="Arial" w:cs="Arial"/>
          <w:sz w:val="22"/>
        </w:rPr>
        <w:t xml:space="preserve">between </w:t>
      </w:r>
      <w:r>
        <w:rPr>
          <w:rFonts w:ascii="Arial" w:hAnsi="Arial" w:cs="Arial"/>
          <w:sz w:val="22"/>
        </w:rPr>
        <w:t>April</w:t>
      </w:r>
      <w:r w:rsidRPr="00B905B0">
        <w:rPr>
          <w:rFonts w:ascii="Arial" w:hAnsi="Arial" w:cs="Arial"/>
          <w:sz w:val="22"/>
        </w:rPr>
        <w:t xml:space="preserve"> 2000-March 2024</w:t>
      </w:r>
      <w:proofErr w:type="gramEnd"/>
      <w:r w:rsidRPr="00B905B0">
        <w:rPr>
          <w:rFonts w:ascii="Arial" w:hAnsi="Arial" w:cs="Arial"/>
          <w:sz w:val="22"/>
        </w:rPr>
        <w:t>.</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According to Moody's, India will require US$ 190 billion-US$ 215 billion of investment over the next seven years to achieve the target of 500 GW of renewable energy capacity by 2030, and another US$ 150 billion-US$ 170 billion for electricity transmission, distribution, and energy storage.</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 xml:space="preserve">Radiance Renewables, an Indian renewable energy developer, and the UK's Private Infrastructure Development Group have formed a joint venture called Radiance </w:t>
      </w:r>
      <w:proofErr w:type="spellStart"/>
      <w:r w:rsidRPr="00B905B0">
        <w:rPr>
          <w:rFonts w:ascii="Arial" w:hAnsi="Arial" w:cs="Arial"/>
          <w:sz w:val="22"/>
        </w:rPr>
        <w:t>InfraCo</w:t>
      </w:r>
      <w:proofErr w:type="spellEnd"/>
      <w:r w:rsidRPr="00B905B0">
        <w:rPr>
          <w:rFonts w:ascii="Arial" w:hAnsi="Arial" w:cs="Arial"/>
          <w:sz w:val="22"/>
        </w:rPr>
        <w:t xml:space="preserve"> Renewables to develop greenfield solar and wind-solar hybrid projects for commercial and industrial clients in India, leveraging their expertise to support the country's transition towards its net-zero emissions target by 2070.</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proofErr w:type="spellStart"/>
      <w:r w:rsidRPr="00B905B0">
        <w:rPr>
          <w:rFonts w:ascii="Arial" w:hAnsi="Arial" w:cs="Arial"/>
          <w:sz w:val="22"/>
        </w:rPr>
        <w:t>Maruti</w:t>
      </w:r>
      <w:proofErr w:type="spellEnd"/>
      <w:r w:rsidRPr="00B905B0">
        <w:rPr>
          <w:rFonts w:ascii="Arial" w:hAnsi="Arial" w:cs="Arial"/>
          <w:sz w:val="22"/>
        </w:rPr>
        <w:t xml:space="preserve"> Suzuki India will invest </w:t>
      </w:r>
      <w:proofErr w:type="spellStart"/>
      <w:r w:rsidRPr="00B905B0">
        <w:rPr>
          <w:rFonts w:ascii="Arial" w:hAnsi="Arial" w:cs="Arial"/>
          <w:sz w:val="22"/>
        </w:rPr>
        <w:t>Rs</w:t>
      </w:r>
      <w:proofErr w:type="spellEnd"/>
      <w:r w:rsidRPr="00B905B0">
        <w:rPr>
          <w:rFonts w:ascii="Arial" w:hAnsi="Arial" w:cs="Arial"/>
          <w:sz w:val="22"/>
        </w:rPr>
        <w:t xml:space="preserve">. 450 crore (US$ 54 million) over the next three years in renewable energy projects, including a biogas plant at </w:t>
      </w:r>
      <w:proofErr w:type="spellStart"/>
      <w:r w:rsidRPr="00B905B0">
        <w:rPr>
          <w:rFonts w:ascii="Arial" w:hAnsi="Arial" w:cs="Arial"/>
          <w:sz w:val="22"/>
        </w:rPr>
        <w:t>Manesar</w:t>
      </w:r>
      <w:proofErr w:type="spellEnd"/>
      <w:r w:rsidRPr="00B905B0">
        <w:rPr>
          <w:rFonts w:ascii="Arial" w:hAnsi="Arial" w:cs="Arial"/>
          <w:sz w:val="22"/>
        </w:rPr>
        <w:t xml:space="preserve"> and expanding solar capacity. The pilot biogas plant aims to produce 1 lakh cubic meters of biogas in FY 2024-25, offsetting 190 tonnes of CO2 annually. Solar capacity will grow from 43.2 </w:t>
      </w:r>
      <w:proofErr w:type="spellStart"/>
      <w:r w:rsidRPr="00B905B0">
        <w:rPr>
          <w:rFonts w:ascii="Arial" w:hAnsi="Arial" w:cs="Arial"/>
          <w:sz w:val="22"/>
        </w:rPr>
        <w:t>MWp</w:t>
      </w:r>
      <w:proofErr w:type="spellEnd"/>
      <w:r w:rsidRPr="00B905B0">
        <w:rPr>
          <w:rFonts w:ascii="Arial" w:hAnsi="Arial" w:cs="Arial"/>
          <w:sz w:val="22"/>
        </w:rPr>
        <w:t xml:space="preserve"> to 78.2 </w:t>
      </w:r>
      <w:proofErr w:type="spellStart"/>
      <w:r w:rsidRPr="00B905B0">
        <w:rPr>
          <w:rFonts w:ascii="Arial" w:hAnsi="Arial" w:cs="Arial"/>
          <w:sz w:val="22"/>
        </w:rPr>
        <w:t>MWp</w:t>
      </w:r>
      <w:proofErr w:type="spellEnd"/>
      <w:r w:rsidRPr="00B905B0">
        <w:rPr>
          <w:rFonts w:ascii="Arial" w:hAnsi="Arial" w:cs="Arial"/>
          <w:sz w:val="22"/>
        </w:rPr>
        <w:t xml:space="preserve"> by FY 2025-26, supporting Suzuki's 'Environment Vision 2050.</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 xml:space="preserve">NTPC Green Energy Ltd. will invest </w:t>
      </w:r>
      <w:proofErr w:type="spellStart"/>
      <w:r w:rsidRPr="00B905B0">
        <w:rPr>
          <w:rFonts w:ascii="Arial" w:hAnsi="Arial" w:cs="Arial"/>
          <w:sz w:val="22"/>
        </w:rPr>
        <w:t>Rs</w:t>
      </w:r>
      <w:proofErr w:type="spellEnd"/>
      <w:r w:rsidRPr="00B905B0">
        <w:rPr>
          <w:rFonts w:ascii="Arial" w:hAnsi="Arial" w:cs="Arial"/>
          <w:sz w:val="22"/>
        </w:rPr>
        <w:t>. 80,000 crore (US$ 9.59 billion) in Maharashtra for green hydrogen, ammonia, and methanol projects, including 2 GW pumped storage and up to 5 GW renewable energy projects, as part of a plan to build 60 GW renewable capacity by 2032.</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 xml:space="preserve">On December 4, 2023, Andhra Pradesh announced </w:t>
      </w:r>
      <w:proofErr w:type="spellStart"/>
      <w:r w:rsidRPr="00B905B0">
        <w:rPr>
          <w:rFonts w:ascii="Arial" w:hAnsi="Arial" w:cs="Arial"/>
          <w:sz w:val="22"/>
        </w:rPr>
        <w:t>Rs</w:t>
      </w:r>
      <w:proofErr w:type="spellEnd"/>
      <w:r w:rsidRPr="00B905B0">
        <w:rPr>
          <w:rFonts w:ascii="Arial" w:hAnsi="Arial" w:cs="Arial"/>
          <w:sz w:val="22"/>
        </w:rPr>
        <w:t xml:space="preserve"> 6600 crore (US$ 794 million) clean energy and infrastructure expansion plans, including a 750 MW solar project, 100 MW solar plant, </w:t>
      </w:r>
      <w:proofErr w:type="gramStart"/>
      <w:r w:rsidRPr="00B905B0">
        <w:rPr>
          <w:rFonts w:ascii="Arial" w:hAnsi="Arial" w:cs="Arial"/>
          <w:sz w:val="22"/>
        </w:rPr>
        <w:t>substation</w:t>
      </w:r>
      <w:proofErr w:type="gramEnd"/>
      <w:r w:rsidRPr="00B905B0">
        <w:rPr>
          <w:rFonts w:ascii="Arial" w:hAnsi="Arial" w:cs="Arial"/>
          <w:sz w:val="22"/>
        </w:rPr>
        <w:t xml:space="preserve"> enhancements, collaborations with HPCL, Avera AI Mobility's electric vehicle expansion, and SECI contract for solar energy.</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B905B0">
        <w:rPr>
          <w:rFonts w:ascii="Arial" w:hAnsi="Arial" w:cs="Arial"/>
          <w:sz w:val="22"/>
        </w:rPr>
        <w:t xml:space="preserve">On January 4, 2024, Torrent Power signed four initial pacts with the Gujarat government to invest </w:t>
      </w:r>
      <w:proofErr w:type="spellStart"/>
      <w:r w:rsidRPr="00B905B0">
        <w:rPr>
          <w:rFonts w:ascii="Arial" w:hAnsi="Arial" w:cs="Arial"/>
          <w:sz w:val="22"/>
        </w:rPr>
        <w:t>Rs</w:t>
      </w:r>
      <w:proofErr w:type="spellEnd"/>
      <w:r w:rsidRPr="00B905B0">
        <w:rPr>
          <w:rFonts w:ascii="Arial" w:hAnsi="Arial" w:cs="Arial"/>
          <w:sz w:val="22"/>
        </w:rPr>
        <w:t xml:space="preserve"> 47,350 crore (US$ 5.70 billion) in renewable energy, green hydrogen, and electricity distribution. These investments are aimed at contributing to the state's development and creating employment opportunities.</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 xml:space="preserve">On January 8, 2024, Tata Power announced an </w:t>
      </w:r>
      <w:proofErr w:type="spellStart"/>
      <w:r w:rsidRPr="007372D8">
        <w:rPr>
          <w:rFonts w:ascii="Arial" w:hAnsi="Arial" w:cs="Arial"/>
          <w:sz w:val="22"/>
        </w:rPr>
        <w:t>Rs</w:t>
      </w:r>
      <w:proofErr w:type="spellEnd"/>
      <w:r w:rsidRPr="007372D8">
        <w:rPr>
          <w:rFonts w:ascii="Arial" w:hAnsi="Arial" w:cs="Arial"/>
          <w:sz w:val="22"/>
        </w:rPr>
        <w:t xml:space="preserve"> 70,000 crore (US$ 8.42 billion) investment to develop 10 GW of solar and wind power capacity in Tamil Nadu over the next 5-7 years. This aligns with its goal of achieving 70% clean energy production by 2030.</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 xml:space="preserve">In November 2023, </w:t>
      </w:r>
      <w:proofErr w:type="spellStart"/>
      <w:r w:rsidRPr="007372D8">
        <w:rPr>
          <w:rFonts w:ascii="Arial" w:hAnsi="Arial" w:cs="Arial"/>
          <w:sz w:val="22"/>
        </w:rPr>
        <w:t>AmpIn</w:t>
      </w:r>
      <w:proofErr w:type="spellEnd"/>
      <w:r w:rsidRPr="007372D8">
        <w:rPr>
          <w:rFonts w:ascii="Arial" w:hAnsi="Arial" w:cs="Arial"/>
          <w:sz w:val="22"/>
        </w:rPr>
        <w:t xml:space="preserve"> Energy Transition announced an investment of </w:t>
      </w:r>
      <w:proofErr w:type="spellStart"/>
      <w:r w:rsidRPr="007372D8">
        <w:rPr>
          <w:rFonts w:ascii="Arial" w:hAnsi="Arial" w:cs="Arial"/>
          <w:sz w:val="22"/>
        </w:rPr>
        <w:t>Rs</w:t>
      </w:r>
      <w:proofErr w:type="spellEnd"/>
      <w:r w:rsidRPr="007372D8">
        <w:rPr>
          <w:rFonts w:ascii="Arial" w:hAnsi="Arial" w:cs="Arial"/>
          <w:sz w:val="22"/>
        </w:rPr>
        <w:t xml:space="preserve">. 3,100 crore (US$ 372.6 million) to establish renewable energy projects exceeding 600 MW and an integrated manufacturing facility for solar cells and modules across the Eastern region. The funding will be focused in West Bengal, Bihar, Odisha, Jharkhand, Chhattisgarh, and the </w:t>
      </w:r>
      <w:proofErr w:type="spellStart"/>
      <w:r w:rsidRPr="007372D8">
        <w:rPr>
          <w:rFonts w:ascii="Arial" w:hAnsi="Arial" w:cs="Arial"/>
          <w:sz w:val="22"/>
        </w:rPr>
        <w:t>Northeastern</w:t>
      </w:r>
      <w:proofErr w:type="spellEnd"/>
      <w:r w:rsidRPr="007372D8">
        <w:rPr>
          <w:rFonts w:ascii="Arial" w:hAnsi="Arial" w:cs="Arial"/>
          <w:sz w:val="22"/>
        </w:rPr>
        <w:t xml:space="preserve"> States.</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Around US$ 2.8 trillion will be invested in energy in 2023 globally. More than US$ 1.7 trillion is going to clean energy, including renewable power, nuclear, grids, storage, low-emission fuels, efficiency improvements and end-use renewables and electrification.</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US$ 2.4 billion National Hydrogen Mission for production of 5 MMT by 2030 and US$ 36 million additional in budget.</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 xml:space="preserve">59 solar parks with an aggregate capacity 40 GW have been approved in India. Solar Parks in </w:t>
      </w:r>
      <w:proofErr w:type="spellStart"/>
      <w:r w:rsidRPr="007372D8">
        <w:rPr>
          <w:rFonts w:ascii="Arial" w:hAnsi="Arial" w:cs="Arial"/>
          <w:sz w:val="22"/>
        </w:rPr>
        <w:t>Pavagada</w:t>
      </w:r>
      <w:proofErr w:type="spellEnd"/>
      <w:r w:rsidRPr="007372D8">
        <w:rPr>
          <w:rFonts w:ascii="Arial" w:hAnsi="Arial" w:cs="Arial"/>
          <w:sz w:val="22"/>
        </w:rPr>
        <w:t xml:space="preserve"> (2 GW), Kurnool (1 GW) and </w:t>
      </w:r>
      <w:proofErr w:type="spellStart"/>
      <w:r w:rsidRPr="007372D8">
        <w:rPr>
          <w:rFonts w:ascii="Arial" w:hAnsi="Arial" w:cs="Arial"/>
          <w:sz w:val="22"/>
        </w:rPr>
        <w:t>Bhadla</w:t>
      </w:r>
      <w:proofErr w:type="spellEnd"/>
      <w:r w:rsidRPr="007372D8">
        <w:rPr>
          <w:rFonts w:ascii="Arial" w:hAnsi="Arial" w:cs="Arial"/>
          <w:sz w:val="22"/>
        </w:rPr>
        <w:t>-II (648 MW) are included in the top 5 operational solar parks of 7 GW capacity in the country.</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The world’s largest renewable energy park of 30 GW capacity solar-wind hybrid project is under installation in Gujarat.</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 xml:space="preserve">India offers a great opportunity for investments in the RE sector; $196.98 </w:t>
      </w:r>
      <w:proofErr w:type="spellStart"/>
      <w:r w:rsidRPr="007372D8">
        <w:rPr>
          <w:rFonts w:ascii="Arial" w:hAnsi="Arial" w:cs="Arial"/>
          <w:sz w:val="22"/>
        </w:rPr>
        <w:t>Bn</w:t>
      </w:r>
      <w:proofErr w:type="spellEnd"/>
      <w:r w:rsidRPr="007372D8">
        <w:rPr>
          <w:rFonts w:ascii="Arial" w:hAnsi="Arial" w:cs="Arial"/>
          <w:sz w:val="22"/>
        </w:rPr>
        <w:t xml:space="preserve"> worth of projects are underway in India.</w:t>
      </w:r>
    </w:p>
    <w:p w:rsidR="00140DA5" w:rsidRPr="007372D8" w:rsidRDefault="00140DA5" w:rsidP="00140DA5">
      <w:pPr>
        <w:pStyle w:val="ListParagraph"/>
        <w:numPr>
          <w:ilvl w:val="0"/>
          <w:numId w:val="5"/>
        </w:numPr>
        <w:spacing w:before="240" w:line="360" w:lineRule="auto"/>
        <w:ind w:left="1134" w:right="-8" w:hanging="425"/>
        <w:jc w:val="both"/>
        <w:rPr>
          <w:rFonts w:ascii="Arial" w:hAnsi="Arial" w:cs="Arial"/>
          <w:sz w:val="22"/>
        </w:rPr>
      </w:pPr>
      <w:r w:rsidRPr="007372D8">
        <w:rPr>
          <w:rFonts w:ascii="Arial" w:hAnsi="Arial" w:cs="Arial"/>
          <w:sz w:val="22"/>
        </w:rPr>
        <w:t>Wind Energy has an offshore target of 30 GW by 2030 with 3 potential sites identified.</w:t>
      </w:r>
    </w:p>
    <w:p w:rsidR="00140DA5" w:rsidRDefault="00140DA5" w:rsidP="00140DA5">
      <w:pPr>
        <w:pStyle w:val="ListParagraph"/>
        <w:numPr>
          <w:ilvl w:val="0"/>
          <w:numId w:val="6"/>
        </w:numPr>
        <w:spacing w:before="240" w:line="360" w:lineRule="auto"/>
        <w:ind w:left="709" w:right="-143" w:hanging="425"/>
        <w:jc w:val="both"/>
        <w:rPr>
          <w:rFonts w:ascii="Arial" w:hAnsi="Arial" w:cs="Arial"/>
          <w:b/>
          <w:sz w:val="22"/>
          <w:szCs w:val="22"/>
        </w:rPr>
      </w:pPr>
      <w:r w:rsidRPr="0051069E">
        <w:rPr>
          <w:rFonts w:ascii="Arial" w:hAnsi="Arial" w:cs="Arial"/>
          <w:b/>
          <w:sz w:val="22"/>
          <w:szCs w:val="22"/>
        </w:rPr>
        <w:t>GOVERNMENT INITIATIVES</w:t>
      </w:r>
      <w:r>
        <w:rPr>
          <w:rFonts w:ascii="Arial" w:hAnsi="Arial" w:cs="Arial"/>
          <w:b/>
          <w:sz w:val="22"/>
          <w:szCs w:val="22"/>
        </w:rPr>
        <w:t>:</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 xml:space="preserve">In the Interim Budget for 2024-2025, The Government of India doubled funding for the National Green Hydrogen Mission, allocating </w:t>
      </w:r>
      <w:proofErr w:type="spellStart"/>
      <w:r w:rsidRPr="00E961BF">
        <w:rPr>
          <w:rFonts w:ascii="Arial" w:hAnsi="Arial" w:cs="Arial"/>
          <w:sz w:val="22"/>
          <w:szCs w:val="22"/>
        </w:rPr>
        <w:t>Rs</w:t>
      </w:r>
      <w:proofErr w:type="spellEnd"/>
      <w:r w:rsidRPr="00E961BF">
        <w:rPr>
          <w:rFonts w:ascii="Arial" w:hAnsi="Arial" w:cs="Arial"/>
          <w:sz w:val="22"/>
          <w:szCs w:val="22"/>
        </w:rPr>
        <w:t xml:space="preserve">. 600 crores (US$ 72 million). Additionally, </w:t>
      </w:r>
      <w:proofErr w:type="spellStart"/>
      <w:r w:rsidRPr="00E961BF">
        <w:rPr>
          <w:rFonts w:ascii="Arial" w:hAnsi="Arial" w:cs="Arial"/>
          <w:sz w:val="22"/>
          <w:szCs w:val="22"/>
        </w:rPr>
        <w:t>Rs</w:t>
      </w:r>
      <w:proofErr w:type="spellEnd"/>
      <w:r w:rsidRPr="00E961BF">
        <w:rPr>
          <w:rFonts w:ascii="Arial" w:hAnsi="Arial" w:cs="Arial"/>
          <w:sz w:val="22"/>
          <w:szCs w:val="22"/>
        </w:rPr>
        <w:t>. 17,490 crores (US$ 2.10 billion) were allocated for the Green Hydrogen Mission and the Strategic Interventions for Green Hydrogen Transition (SIGHT) Programme, highlighting a commitment to sustainable energy transition.</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 xml:space="preserve">In the Interim Budget for 2024-2025, the fiscal allocation for solar power grid infrastructure development surged to </w:t>
      </w:r>
      <w:proofErr w:type="spellStart"/>
      <w:r w:rsidRPr="00E961BF">
        <w:rPr>
          <w:rFonts w:ascii="Arial" w:hAnsi="Arial" w:cs="Arial"/>
          <w:sz w:val="22"/>
          <w:szCs w:val="22"/>
        </w:rPr>
        <w:t>Rs</w:t>
      </w:r>
      <w:proofErr w:type="spellEnd"/>
      <w:r w:rsidRPr="00E961BF">
        <w:rPr>
          <w:rFonts w:ascii="Arial" w:hAnsi="Arial" w:cs="Arial"/>
          <w:sz w:val="22"/>
          <w:szCs w:val="22"/>
        </w:rPr>
        <w:t xml:space="preserve">. 8,500 Crore (US$ 1.02 billion), a significant rise from the previous year's </w:t>
      </w:r>
      <w:proofErr w:type="spellStart"/>
      <w:r w:rsidRPr="00E961BF">
        <w:rPr>
          <w:rFonts w:ascii="Arial" w:hAnsi="Arial" w:cs="Arial"/>
          <w:sz w:val="22"/>
          <w:szCs w:val="22"/>
        </w:rPr>
        <w:t>Rs</w:t>
      </w:r>
      <w:proofErr w:type="spellEnd"/>
      <w:r w:rsidRPr="00E961BF">
        <w:rPr>
          <w:rFonts w:ascii="Arial" w:hAnsi="Arial" w:cs="Arial"/>
          <w:sz w:val="22"/>
          <w:szCs w:val="22"/>
        </w:rPr>
        <w:t>. 4,970 Crore (US$ 0.60 billion).</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 xml:space="preserve">As of January 2, 2024, the Government of India is implementing the Production Linked Incentive (PLI) Scheme for the National Programme on High Efficiency Solar PV Modules, aimed at achieving gigawatt-scale manufacturing capacity. Under Tranche-II, with a budget allocation of </w:t>
      </w:r>
      <w:proofErr w:type="spellStart"/>
      <w:r w:rsidRPr="00E961BF">
        <w:rPr>
          <w:rFonts w:ascii="Arial" w:hAnsi="Arial" w:cs="Arial"/>
          <w:sz w:val="22"/>
          <w:szCs w:val="22"/>
        </w:rPr>
        <w:t>Rs</w:t>
      </w:r>
      <w:proofErr w:type="spellEnd"/>
      <w:r w:rsidRPr="00E961BF">
        <w:rPr>
          <w:rFonts w:ascii="Arial" w:hAnsi="Arial" w:cs="Arial"/>
          <w:sz w:val="22"/>
          <w:szCs w:val="22"/>
        </w:rPr>
        <w:t xml:space="preserve"> 19,500 crore (US$ 2.35 billion), Letters of Award were issued in April 2023 for the establishment of 39,600 MW of fully or partially integrated solar PV module manufacturing units.</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 xml:space="preserve">The Ministry of New and Renewable Energy (MNRE) has proposed the establishment of a 13,000 MW renewable energy (RE) capacity along with a 12,000 MWh Battery Energy Storage System (BESS) in </w:t>
      </w:r>
      <w:proofErr w:type="spellStart"/>
      <w:r w:rsidRPr="00E961BF">
        <w:rPr>
          <w:rFonts w:ascii="Arial" w:hAnsi="Arial" w:cs="Arial"/>
          <w:sz w:val="22"/>
          <w:szCs w:val="22"/>
        </w:rPr>
        <w:t>Ladakh</w:t>
      </w:r>
      <w:proofErr w:type="spellEnd"/>
      <w:r w:rsidRPr="00E961BF">
        <w:rPr>
          <w:rFonts w:ascii="Arial" w:hAnsi="Arial" w:cs="Arial"/>
          <w:sz w:val="22"/>
          <w:szCs w:val="22"/>
        </w:rPr>
        <w:t xml:space="preserve">. On October 18, 2023, the Cabinet Committee on Economic Affairs approved the construction of an Inter-State Transmission System (ISTS) to facilitate the power evacuation and grid integration of these RE projects in </w:t>
      </w:r>
      <w:proofErr w:type="spellStart"/>
      <w:r w:rsidRPr="00E961BF">
        <w:rPr>
          <w:rFonts w:ascii="Arial" w:hAnsi="Arial" w:cs="Arial"/>
          <w:sz w:val="22"/>
          <w:szCs w:val="22"/>
        </w:rPr>
        <w:t>Ladakh</w:t>
      </w:r>
      <w:proofErr w:type="spellEnd"/>
      <w:r w:rsidRPr="00E961BF">
        <w:rPr>
          <w:rFonts w:ascii="Arial" w:hAnsi="Arial" w:cs="Arial"/>
          <w:sz w:val="22"/>
          <w:szCs w:val="22"/>
        </w:rPr>
        <w:t>.</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 xml:space="preserve">Proposed solar cities and parks: The Solar Park Scheme launched in December 2014 with a capacity of 20,000 MW was expanded to 40,000 MW by March 2017. As of November 30, 2023, 50 solar parks have been approved, </w:t>
      </w:r>
      <w:proofErr w:type="spellStart"/>
      <w:r w:rsidRPr="00E961BF">
        <w:rPr>
          <w:rFonts w:ascii="Arial" w:hAnsi="Arial" w:cs="Arial"/>
          <w:sz w:val="22"/>
          <w:szCs w:val="22"/>
        </w:rPr>
        <w:t>totaling</w:t>
      </w:r>
      <w:proofErr w:type="spellEnd"/>
      <w:r w:rsidRPr="00E961BF">
        <w:rPr>
          <w:rFonts w:ascii="Arial" w:hAnsi="Arial" w:cs="Arial"/>
          <w:sz w:val="22"/>
          <w:szCs w:val="22"/>
        </w:rPr>
        <w:t xml:space="preserve"> around 37,490 MW capacity across 12 states. Of these, 10,401 MW has been commissioned, including 284 MW in 2023.</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 xml:space="preserve">On February 13, 2024, Prime Minister Mr. Narendra Modi launched PM Surya </w:t>
      </w:r>
      <w:proofErr w:type="spellStart"/>
      <w:r w:rsidRPr="00E961BF">
        <w:rPr>
          <w:rFonts w:ascii="Arial" w:hAnsi="Arial" w:cs="Arial"/>
          <w:sz w:val="22"/>
          <w:szCs w:val="22"/>
        </w:rPr>
        <w:t>Ghar</w:t>
      </w:r>
      <w:proofErr w:type="spellEnd"/>
      <w:r w:rsidRPr="00E961BF">
        <w:rPr>
          <w:rFonts w:ascii="Arial" w:hAnsi="Arial" w:cs="Arial"/>
          <w:sz w:val="22"/>
          <w:szCs w:val="22"/>
        </w:rPr>
        <w:t xml:space="preserve"> </w:t>
      </w:r>
      <w:proofErr w:type="spellStart"/>
      <w:r w:rsidRPr="00E961BF">
        <w:rPr>
          <w:rFonts w:ascii="Arial" w:hAnsi="Arial" w:cs="Arial"/>
          <w:sz w:val="22"/>
          <w:szCs w:val="22"/>
        </w:rPr>
        <w:t>Muft</w:t>
      </w:r>
      <w:proofErr w:type="spellEnd"/>
      <w:r w:rsidRPr="00E961BF">
        <w:rPr>
          <w:rFonts w:ascii="Arial" w:hAnsi="Arial" w:cs="Arial"/>
          <w:sz w:val="22"/>
          <w:szCs w:val="22"/>
        </w:rPr>
        <w:t xml:space="preserve"> </w:t>
      </w:r>
      <w:proofErr w:type="spellStart"/>
      <w:r w:rsidRPr="00E961BF">
        <w:rPr>
          <w:rFonts w:ascii="Arial" w:hAnsi="Arial" w:cs="Arial"/>
          <w:sz w:val="22"/>
          <w:szCs w:val="22"/>
        </w:rPr>
        <w:t>Bijli</w:t>
      </w:r>
      <w:proofErr w:type="spellEnd"/>
      <w:r w:rsidRPr="00E961BF">
        <w:rPr>
          <w:rFonts w:ascii="Arial" w:hAnsi="Arial" w:cs="Arial"/>
          <w:sz w:val="22"/>
          <w:szCs w:val="22"/>
        </w:rPr>
        <w:t xml:space="preserve"> </w:t>
      </w:r>
      <w:proofErr w:type="spellStart"/>
      <w:r w:rsidRPr="00E961BF">
        <w:rPr>
          <w:rFonts w:ascii="Arial" w:hAnsi="Arial" w:cs="Arial"/>
          <w:sz w:val="22"/>
          <w:szCs w:val="22"/>
        </w:rPr>
        <w:t>Yojana</w:t>
      </w:r>
      <w:proofErr w:type="spellEnd"/>
      <w:r w:rsidRPr="00E961BF">
        <w:rPr>
          <w:rFonts w:ascii="Arial" w:hAnsi="Arial" w:cs="Arial"/>
          <w:sz w:val="22"/>
          <w:szCs w:val="22"/>
        </w:rPr>
        <w:t>, offering free rooftop solar electricity to 1 crore households, backed by subsidies and concessional loans.</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On December 12, 2023, the Union Minister for New &amp; Renewable Energy and Power reported the installation of 140 MW solar power plants and 2.73 lakh standalone solar pumps under PM-KUSUM, aimed at farmer welfare and environmental sustainability.</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In Budget 2023-24, Green Growth was identified as one of the nodes in the SAPTARISHI (7 priorities).</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In Budget 2023-24, pumped storage projects received a push with a detailed framework to be formulated.</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Union Budget 2023-24 envisions to create sustainable cities of tomorrow. To translate this, states and cities will be encouraged to undertake urban planning reforms and actions to transform our cities into 'sustainable cities of tomorrow.’</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The Indian government's commitment to reaching net-zero emissions by 2070 and increasing its renewable energy target to 500 GW by 2030 at the COP26 summit has provided great support to the industry and spurred unprecedented growth.</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In</w:t>
      </w:r>
      <w:r>
        <w:rPr>
          <w:rFonts w:ascii="Arial" w:hAnsi="Arial" w:cs="Arial"/>
          <w:sz w:val="22"/>
          <w:szCs w:val="22"/>
        </w:rPr>
        <w:t xml:space="preserve"> Budget 2023-24, </w:t>
      </w:r>
      <w:proofErr w:type="spellStart"/>
      <w:r>
        <w:rPr>
          <w:rFonts w:ascii="Arial" w:hAnsi="Arial" w:cs="Arial"/>
          <w:sz w:val="22"/>
          <w:szCs w:val="22"/>
        </w:rPr>
        <w:t>Rs</w:t>
      </w:r>
      <w:proofErr w:type="spellEnd"/>
      <w:r>
        <w:rPr>
          <w:rFonts w:ascii="Arial" w:hAnsi="Arial" w:cs="Arial"/>
          <w:sz w:val="22"/>
          <w:szCs w:val="22"/>
        </w:rPr>
        <w:t>. 8,300 crore</w:t>
      </w:r>
      <w:r w:rsidRPr="00E961BF">
        <w:rPr>
          <w:rFonts w:ascii="Arial" w:hAnsi="Arial" w:cs="Arial"/>
          <w:sz w:val="22"/>
          <w:szCs w:val="22"/>
        </w:rPr>
        <w:t xml:space="preserve"> central sector support for ISTS infrastructure for 13 GW renewable energy from </w:t>
      </w:r>
      <w:proofErr w:type="spellStart"/>
      <w:r w:rsidRPr="00E961BF">
        <w:rPr>
          <w:rFonts w:ascii="Arial" w:hAnsi="Arial" w:cs="Arial"/>
          <w:sz w:val="22"/>
          <w:szCs w:val="22"/>
        </w:rPr>
        <w:t>Ladakh</w:t>
      </w:r>
      <w:proofErr w:type="spellEnd"/>
      <w:r w:rsidRPr="00E961BF">
        <w:rPr>
          <w:rFonts w:ascii="Arial" w:hAnsi="Arial" w:cs="Arial"/>
          <w:sz w:val="22"/>
          <w:szCs w:val="22"/>
        </w:rPr>
        <w:t xml:space="preserve"> was announced.</w:t>
      </w:r>
    </w:p>
    <w:p w:rsidR="00140DA5" w:rsidRDefault="00140DA5" w:rsidP="00140DA5">
      <w:pPr>
        <w:pStyle w:val="ListParagraph"/>
        <w:numPr>
          <w:ilvl w:val="0"/>
          <w:numId w:val="5"/>
        </w:numPr>
        <w:spacing w:before="240" w:line="360" w:lineRule="auto"/>
        <w:ind w:left="1134" w:right="-8" w:hanging="425"/>
        <w:jc w:val="both"/>
        <w:rPr>
          <w:rFonts w:ascii="Arial" w:hAnsi="Arial" w:cs="Arial"/>
          <w:sz w:val="22"/>
          <w:szCs w:val="22"/>
        </w:rPr>
      </w:pPr>
      <w:r w:rsidRPr="00E961BF">
        <w:rPr>
          <w:rFonts w:ascii="Arial" w:hAnsi="Arial" w:cs="Arial"/>
          <w:sz w:val="22"/>
          <w:szCs w:val="22"/>
        </w:rPr>
        <w:t xml:space="preserve">On November 19, Prime Minister Mr. Narendra Modi dedicated the 600 MW </w:t>
      </w:r>
      <w:proofErr w:type="spellStart"/>
      <w:r w:rsidRPr="00E961BF">
        <w:rPr>
          <w:rFonts w:ascii="Arial" w:hAnsi="Arial" w:cs="Arial"/>
          <w:sz w:val="22"/>
          <w:szCs w:val="22"/>
        </w:rPr>
        <w:t>Kameng</w:t>
      </w:r>
      <w:proofErr w:type="spellEnd"/>
      <w:r w:rsidRPr="00E961BF">
        <w:rPr>
          <w:rFonts w:ascii="Arial" w:hAnsi="Arial" w:cs="Arial"/>
          <w:sz w:val="22"/>
          <w:szCs w:val="22"/>
        </w:rPr>
        <w:t xml:space="preserve"> Hydro Power Station in Arunachal Pradesh to the country. The project, which covers more than 80 kilometres </w:t>
      </w:r>
      <w:r>
        <w:rPr>
          <w:rFonts w:ascii="Arial" w:hAnsi="Arial" w:cs="Arial"/>
          <w:sz w:val="22"/>
          <w:szCs w:val="22"/>
        </w:rPr>
        <w:t xml:space="preserve">and costs about </w:t>
      </w:r>
      <w:proofErr w:type="spellStart"/>
      <w:r>
        <w:rPr>
          <w:rFonts w:ascii="Arial" w:hAnsi="Arial" w:cs="Arial"/>
          <w:sz w:val="22"/>
          <w:szCs w:val="22"/>
        </w:rPr>
        <w:t>Rs</w:t>
      </w:r>
      <w:proofErr w:type="spellEnd"/>
      <w:r>
        <w:rPr>
          <w:rFonts w:ascii="Arial" w:hAnsi="Arial" w:cs="Arial"/>
          <w:sz w:val="22"/>
          <w:szCs w:val="22"/>
        </w:rPr>
        <w:t>. 8,200 crore</w:t>
      </w:r>
      <w:r w:rsidRPr="00E961BF">
        <w:rPr>
          <w:rFonts w:ascii="Arial" w:hAnsi="Arial" w:cs="Arial"/>
          <w:sz w:val="22"/>
          <w:szCs w:val="22"/>
        </w:rPr>
        <w:t xml:space="preserve">, is located in Arunachal Pradesh's West </w:t>
      </w:r>
      <w:proofErr w:type="spellStart"/>
      <w:r w:rsidRPr="00E961BF">
        <w:rPr>
          <w:rFonts w:ascii="Arial" w:hAnsi="Arial" w:cs="Arial"/>
          <w:sz w:val="22"/>
          <w:szCs w:val="22"/>
        </w:rPr>
        <w:t>Kameng</w:t>
      </w:r>
      <w:proofErr w:type="spellEnd"/>
      <w:r w:rsidRPr="00E961BF">
        <w:rPr>
          <w:rFonts w:ascii="Arial" w:hAnsi="Arial" w:cs="Arial"/>
          <w:sz w:val="22"/>
          <w:szCs w:val="22"/>
        </w:rPr>
        <w:t xml:space="preserve"> District.</w:t>
      </w:r>
    </w:p>
    <w:p w:rsidR="00140DA5" w:rsidRDefault="00140DA5" w:rsidP="00140DA5">
      <w:pPr>
        <w:pStyle w:val="ListParagraph"/>
        <w:numPr>
          <w:ilvl w:val="0"/>
          <w:numId w:val="6"/>
        </w:numPr>
        <w:spacing w:before="240" w:line="360" w:lineRule="auto"/>
        <w:ind w:left="709" w:right="-71" w:hanging="425"/>
        <w:jc w:val="both"/>
        <w:rPr>
          <w:rFonts w:ascii="Arial" w:hAnsi="Arial" w:cs="Arial"/>
          <w:b/>
          <w:sz w:val="22"/>
          <w:szCs w:val="22"/>
        </w:rPr>
      </w:pPr>
      <w:r w:rsidRPr="00C367BF">
        <w:rPr>
          <w:rFonts w:ascii="Arial" w:hAnsi="Arial" w:cs="Arial"/>
          <w:b/>
          <w:sz w:val="22"/>
          <w:szCs w:val="22"/>
        </w:rPr>
        <w:t>CONCLUSION:</w:t>
      </w:r>
    </w:p>
    <w:p w:rsidR="00140DA5" w:rsidRPr="00E961BF" w:rsidRDefault="00140DA5" w:rsidP="00140DA5">
      <w:pPr>
        <w:pStyle w:val="ListParagraph"/>
        <w:spacing w:before="240" w:line="360" w:lineRule="auto"/>
        <w:ind w:left="709" w:right="-71"/>
        <w:jc w:val="both"/>
        <w:rPr>
          <w:rFonts w:ascii="Arial" w:hAnsi="Arial" w:cs="Arial"/>
          <w:sz w:val="22"/>
          <w:szCs w:val="22"/>
        </w:rPr>
      </w:pPr>
      <w:r w:rsidRPr="00E961BF">
        <w:rPr>
          <w:rFonts w:ascii="Arial" w:hAnsi="Arial" w:cs="Arial"/>
          <w:sz w:val="22"/>
          <w:szCs w:val="22"/>
        </w:rPr>
        <w:t>India has set a target to reduce the carbon intensity of the nation’s economy by less than 45% by the end of the decade, achieve 50% cumulative electric power installed by 2030 from renewables, and achieve net-zero carbon emissions by 2070. Low-carbon technologies could create a market worth up to $80 billion in India by 2030.</w:t>
      </w:r>
    </w:p>
    <w:p w:rsidR="00140DA5" w:rsidRPr="00E961BF" w:rsidRDefault="00140DA5" w:rsidP="00140DA5">
      <w:pPr>
        <w:pStyle w:val="ListParagraph"/>
        <w:spacing w:before="240" w:line="360" w:lineRule="auto"/>
        <w:ind w:left="709" w:right="-71"/>
        <w:jc w:val="both"/>
        <w:rPr>
          <w:rFonts w:ascii="Arial" w:hAnsi="Arial" w:cs="Arial"/>
          <w:sz w:val="22"/>
          <w:szCs w:val="22"/>
        </w:rPr>
      </w:pPr>
      <w:r w:rsidRPr="00E961BF">
        <w:rPr>
          <w:rFonts w:ascii="Arial" w:hAnsi="Arial" w:cs="Arial"/>
          <w:sz w:val="22"/>
          <w:szCs w:val="22"/>
        </w:rPr>
        <w:t xml:space="preserve">India‘s target is to produce five million tonnes of green hydrogen by 2030. The Green Hydrogen target is set at India’s electrolyser manufacturing capacity is projected to reach 8 GW per year by 2025. The cumulative value of the green hydrogen market in India could reach $8 </w:t>
      </w:r>
      <w:proofErr w:type="spellStart"/>
      <w:r w:rsidRPr="00E961BF">
        <w:rPr>
          <w:rFonts w:ascii="Arial" w:hAnsi="Arial" w:cs="Arial"/>
          <w:sz w:val="22"/>
          <w:szCs w:val="22"/>
        </w:rPr>
        <w:t>Bn</w:t>
      </w:r>
      <w:proofErr w:type="spellEnd"/>
      <w:r w:rsidRPr="00E961BF">
        <w:rPr>
          <w:rFonts w:ascii="Arial" w:hAnsi="Arial" w:cs="Arial"/>
          <w:sz w:val="22"/>
          <w:szCs w:val="22"/>
        </w:rPr>
        <w:t xml:space="preserve"> by 2030 and India will require at least 50 gigawatts (GW) of electrolysers or more to ramp up hydrogen production.</w:t>
      </w:r>
    </w:p>
    <w:p w:rsidR="00140DA5" w:rsidRPr="00E961BF" w:rsidRDefault="00140DA5" w:rsidP="00140DA5">
      <w:pPr>
        <w:pStyle w:val="ListParagraph"/>
        <w:spacing w:before="240" w:line="360" w:lineRule="auto"/>
        <w:ind w:left="709" w:right="-71"/>
        <w:jc w:val="both"/>
        <w:rPr>
          <w:rFonts w:ascii="Arial" w:hAnsi="Arial" w:cs="Arial"/>
          <w:sz w:val="22"/>
          <w:szCs w:val="22"/>
        </w:rPr>
      </w:pPr>
      <w:r w:rsidRPr="00E961BF">
        <w:rPr>
          <w:rFonts w:ascii="Arial" w:hAnsi="Arial" w:cs="Arial"/>
          <w:sz w:val="22"/>
          <w:szCs w:val="22"/>
        </w:rPr>
        <w:t>India’s ambitious renewable energy goals are transforming its power sector. The rising population and widespread electrification in rural homes are fuelling the demand for energy to power homes, businesses and communities. Clean energy will reduce pollution levels as villages become self-sustainable with their use of clean energy. In 2022, India's renewable energy sector is expected to boom with a likely investment of US$ 15 billion this year, as the government focuses on electric vehicles, green hydrogen, and the manufacturing of solar equipment.</w:t>
      </w:r>
    </w:p>
    <w:p w:rsidR="00140DA5" w:rsidRPr="00E961BF" w:rsidRDefault="00140DA5" w:rsidP="00140DA5">
      <w:pPr>
        <w:pStyle w:val="ListParagraph"/>
        <w:spacing w:before="240" w:line="360" w:lineRule="auto"/>
        <w:ind w:left="709" w:right="-71"/>
        <w:jc w:val="both"/>
        <w:rPr>
          <w:rFonts w:ascii="Arial" w:hAnsi="Arial" w:cs="Arial"/>
          <w:sz w:val="22"/>
          <w:szCs w:val="22"/>
        </w:rPr>
      </w:pPr>
      <w:r w:rsidRPr="00E961BF">
        <w:rPr>
          <w:rFonts w:ascii="Arial" w:hAnsi="Arial" w:cs="Arial"/>
          <w:sz w:val="22"/>
          <w:szCs w:val="22"/>
        </w:rPr>
        <w:t xml:space="preserve">It is expected that by 2040, around 49% of the total electricity will be generated by renewable energy as more efficient batteries will be used to store electricity, which will further cut the solar energy cost by 66% as compared to the current cost. The use of renewables in place of coal will save India </w:t>
      </w:r>
      <w:proofErr w:type="spellStart"/>
      <w:r w:rsidRPr="00E961BF">
        <w:rPr>
          <w:rFonts w:ascii="Arial" w:hAnsi="Arial" w:cs="Arial"/>
          <w:sz w:val="22"/>
          <w:szCs w:val="22"/>
        </w:rPr>
        <w:t>Rs</w:t>
      </w:r>
      <w:proofErr w:type="spellEnd"/>
      <w:r w:rsidRPr="00E961BF">
        <w:rPr>
          <w:rFonts w:ascii="Arial" w:hAnsi="Arial" w:cs="Arial"/>
          <w:sz w:val="22"/>
          <w:szCs w:val="22"/>
        </w:rPr>
        <w:t xml:space="preserve">. 54,000 crore (US$ 8.43 billion) annually. Around 15,000 MW of wind-solar hybrid capacity is expected to be added </w:t>
      </w:r>
      <w:proofErr w:type="gramStart"/>
      <w:r w:rsidRPr="00E961BF">
        <w:rPr>
          <w:rFonts w:ascii="Arial" w:hAnsi="Arial" w:cs="Arial"/>
          <w:sz w:val="22"/>
          <w:szCs w:val="22"/>
        </w:rPr>
        <w:t>between 2020-25</w:t>
      </w:r>
      <w:proofErr w:type="gramEnd"/>
      <w:r w:rsidRPr="00E961BF">
        <w:rPr>
          <w:rFonts w:ascii="Arial" w:hAnsi="Arial" w:cs="Arial"/>
          <w:sz w:val="22"/>
          <w:szCs w:val="22"/>
        </w:rPr>
        <w:t>.</w:t>
      </w:r>
    </w:p>
    <w:p w:rsidR="00140DA5" w:rsidRDefault="00140DA5" w:rsidP="00140DA5">
      <w:pPr>
        <w:pStyle w:val="ListParagraph"/>
        <w:spacing w:before="240" w:line="360" w:lineRule="auto"/>
        <w:ind w:left="709" w:right="-71"/>
        <w:jc w:val="both"/>
        <w:rPr>
          <w:rFonts w:ascii="Arial" w:hAnsi="Arial" w:cs="Arial"/>
          <w:sz w:val="22"/>
          <w:szCs w:val="22"/>
        </w:rPr>
      </w:pPr>
      <w:r w:rsidRPr="00E961BF">
        <w:rPr>
          <w:rFonts w:ascii="Arial" w:hAnsi="Arial" w:cs="Arial"/>
          <w:sz w:val="22"/>
          <w:szCs w:val="22"/>
        </w:rPr>
        <w:t>As per the Central Electricity Authority (CEA) estimates, by 2029-30, the share of renewable energy generation would increase from 18% to 44%, while that of thermal is expected to reduce from 78% to 52%. The CEA also estimates India’s power requirement to grow to reach 817 GW by 2030.</w:t>
      </w:r>
    </w:p>
    <w:p w:rsidR="00140DA5" w:rsidRDefault="00140DA5">
      <w:bookmarkStart w:id="0" w:name="_GoBack"/>
      <w:bookmarkEnd w:id="0"/>
    </w:p>
    <w:sectPr w:rsidR="00140D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E"/>
    <w:multiLevelType w:val="multilevel"/>
    <w:tmpl w:val="1520DF60"/>
    <w:lvl w:ilvl="0">
      <w:start w:val="1"/>
      <w:numFmt w:val="decimal"/>
      <w:lvlText w:val="%1."/>
      <w:lvlJc w:val="left"/>
      <w:pPr>
        <w:ind w:left="360" w:hanging="360"/>
      </w:pPr>
      <w:rPr>
        <w:rFonts w:hint="default"/>
        <w:b/>
        <w:bCs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1B472A73"/>
    <w:multiLevelType w:val="multilevel"/>
    <w:tmpl w:val="11764494"/>
    <w:lvl w:ilvl="0">
      <w:start w:val="1"/>
      <w:numFmt w:val="decimal"/>
      <w:lvlText w:val="%1."/>
      <w:lvlJc w:val="left"/>
      <w:pPr>
        <w:ind w:left="360" w:hanging="360"/>
      </w:pPr>
      <w:rPr>
        <w:rFonts w:hint="default"/>
        <w:b/>
        <w:bCs w:val="0"/>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20896B15"/>
    <w:multiLevelType w:val="hybridMultilevel"/>
    <w:tmpl w:val="14486200"/>
    <w:lvl w:ilvl="0" w:tplc="40090001">
      <w:start w:val="1"/>
      <w:numFmt w:val="bullet"/>
      <w:lvlText w:val=""/>
      <w:lvlJc w:val="left"/>
      <w:pPr>
        <w:ind w:left="754" w:hanging="360"/>
      </w:pPr>
      <w:rPr>
        <w:rFonts w:ascii="Symbol" w:hAnsi="Symbol" w:hint="default"/>
      </w:rPr>
    </w:lvl>
    <w:lvl w:ilvl="1" w:tplc="40090003" w:tentative="1">
      <w:start w:val="1"/>
      <w:numFmt w:val="bullet"/>
      <w:lvlText w:val="o"/>
      <w:lvlJc w:val="left"/>
      <w:pPr>
        <w:ind w:left="1474" w:hanging="360"/>
      </w:pPr>
      <w:rPr>
        <w:rFonts w:ascii="Courier New" w:hAnsi="Courier New" w:cs="Courier New" w:hint="default"/>
      </w:rPr>
    </w:lvl>
    <w:lvl w:ilvl="2" w:tplc="40090005" w:tentative="1">
      <w:start w:val="1"/>
      <w:numFmt w:val="bullet"/>
      <w:lvlText w:val=""/>
      <w:lvlJc w:val="left"/>
      <w:pPr>
        <w:ind w:left="2194" w:hanging="360"/>
      </w:pPr>
      <w:rPr>
        <w:rFonts w:ascii="Wingdings" w:hAnsi="Wingdings" w:hint="default"/>
      </w:rPr>
    </w:lvl>
    <w:lvl w:ilvl="3" w:tplc="40090001" w:tentative="1">
      <w:start w:val="1"/>
      <w:numFmt w:val="bullet"/>
      <w:lvlText w:val=""/>
      <w:lvlJc w:val="left"/>
      <w:pPr>
        <w:ind w:left="2914" w:hanging="360"/>
      </w:pPr>
      <w:rPr>
        <w:rFonts w:ascii="Symbol" w:hAnsi="Symbol" w:hint="default"/>
      </w:rPr>
    </w:lvl>
    <w:lvl w:ilvl="4" w:tplc="40090003" w:tentative="1">
      <w:start w:val="1"/>
      <w:numFmt w:val="bullet"/>
      <w:lvlText w:val="o"/>
      <w:lvlJc w:val="left"/>
      <w:pPr>
        <w:ind w:left="3634" w:hanging="360"/>
      </w:pPr>
      <w:rPr>
        <w:rFonts w:ascii="Courier New" w:hAnsi="Courier New" w:cs="Courier New" w:hint="default"/>
      </w:rPr>
    </w:lvl>
    <w:lvl w:ilvl="5" w:tplc="40090005" w:tentative="1">
      <w:start w:val="1"/>
      <w:numFmt w:val="bullet"/>
      <w:lvlText w:val=""/>
      <w:lvlJc w:val="left"/>
      <w:pPr>
        <w:ind w:left="4354" w:hanging="360"/>
      </w:pPr>
      <w:rPr>
        <w:rFonts w:ascii="Wingdings" w:hAnsi="Wingdings" w:hint="default"/>
      </w:rPr>
    </w:lvl>
    <w:lvl w:ilvl="6" w:tplc="40090001" w:tentative="1">
      <w:start w:val="1"/>
      <w:numFmt w:val="bullet"/>
      <w:lvlText w:val=""/>
      <w:lvlJc w:val="left"/>
      <w:pPr>
        <w:ind w:left="5074" w:hanging="360"/>
      </w:pPr>
      <w:rPr>
        <w:rFonts w:ascii="Symbol" w:hAnsi="Symbol" w:hint="default"/>
      </w:rPr>
    </w:lvl>
    <w:lvl w:ilvl="7" w:tplc="40090003" w:tentative="1">
      <w:start w:val="1"/>
      <w:numFmt w:val="bullet"/>
      <w:lvlText w:val="o"/>
      <w:lvlJc w:val="left"/>
      <w:pPr>
        <w:ind w:left="5794" w:hanging="360"/>
      </w:pPr>
      <w:rPr>
        <w:rFonts w:ascii="Courier New" w:hAnsi="Courier New" w:cs="Courier New" w:hint="default"/>
      </w:rPr>
    </w:lvl>
    <w:lvl w:ilvl="8" w:tplc="40090005" w:tentative="1">
      <w:start w:val="1"/>
      <w:numFmt w:val="bullet"/>
      <w:lvlText w:val=""/>
      <w:lvlJc w:val="left"/>
      <w:pPr>
        <w:ind w:left="6514" w:hanging="360"/>
      </w:pPr>
      <w:rPr>
        <w:rFonts w:ascii="Wingdings" w:hAnsi="Wingdings" w:hint="default"/>
      </w:rPr>
    </w:lvl>
  </w:abstractNum>
  <w:abstractNum w:abstractNumId="3" w15:restartNumberingAfterBreak="0">
    <w:nsid w:val="3A0212DC"/>
    <w:multiLevelType w:val="multilevel"/>
    <w:tmpl w:val="11764494"/>
    <w:lvl w:ilvl="0">
      <w:start w:val="1"/>
      <w:numFmt w:val="decimal"/>
      <w:lvlText w:val="%1."/>
      <w:lvlJc w:val="left"/>
      <w:pPr>
        <w:ind w:left="360" w:hanging="360"/>
      </w:pPr>
      <w:rPr>
        <w:rFonts w:hint="default"/>
        <w:b/>
        <w:bCs w:val="0"/>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51E50F10"/>
    <w:multiLevelType w:val="multilevel"/>
    <w:tmpl w:val="11764494"/>
    <w:lvl w:ilvl="0">
      <w:start w:val="1"/>
      <w:numFmt w:val="decimal"/>
      <w:lvlText w:val="%1."/>
      <w:lvlJc w:val="left"/>
      <w:pPr>
        <w:ind w:left="360" w:hanging="360"/>
      </w:pPr>
      <w:rPr>
        <w:rFonts w:hint="default"/>
        <w:b/>
        <w:bCs w:val="0"/>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6CEA22A8"/>
    <w:multiLevelType w:val="hybridMultilevel"/>
    <w:tmpl w:val="3600FBD0"/>
    <w:lvl w:ilvl="0" w:tplc="0E66BF5C">
      <w:start w:val="1"/>
      <w:numFmt w:val="decimal"/>
      <w:lvlText w:val="%1."/>
      <w:lvlJc w:val="left"/>
      <w:pPr>
        <w:ind w:left="1004" w:hanging="360"/>
      </w:pPr>
      <w:rPr>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696"/>
    <w:rsid w:val="00140DA5"/>
    <w:rsid w:val="00517696"/>
    <w:rsid w:val="009422B9"/>
    <w:rsid w:val="00B025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AE591D-D7F1-4326-8E79-1D7B79B3C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2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422B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 9,Annexure,Heading 91,List Paragraph1,Heading 911,List Paragraph2,List Paragraph11,Heading 9111,Heading 92,Heading 93,Heading 94,Heading 91111,Heading 95,WinDForce-Letter,Report Para,Bullet 05,Heading 911111,Heading 9111111,Bullet"/>
    <w:basedOn w:val="Normal"/>
    <w:link w:val="ListParagraphChar"/>
    <w:uiPriority w:val="34"/>
    <w:qFormat/>
    <w:rsid w:val="009422B9"/>
    <w:pPr>
      <w:ind w:left="720"/>
    </w:pPr>
  </w:style>
  <w:style w:type="character" w:styleId="Hyperlink">
    <w:name w:val="Hyperlink"/>
    <w:uiPriority w:val="99"/>
    <w:qFormat/>
    <w:rsid w:val="009422B9"/>
    <w:rPr>
      <w:color w:val="0000FF"/>
      <w:u w:val="single"/>
    </w:rPr>
  </w:style>
  <w:style w:type="character" w:customStyle="1" w:styleId="ListParagraphChar">
    <w:name w:val="List Paragraph Char"/>
    <w:aliases w:val="heading 9 Char,Annexure Char,Heading 91 Char,List Paragraph1 Char,Heading 911 Char,List Paragraph2 Char,List Paragraph11 Char,Heading 9111 Char,Heading 92 Char,Heading 93 Char,Heading 94 Char,Heading 91111 Char,Heading 95 Char"/>
    <w:link w:val="ListParagraph"/>
    <w:uiPriority w:val="34"/>
    <w:qFormat/>
    <w:rsid w:val="009422B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linkedin.com/pulse/india-wind-energy-potential-quesro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aaree.com/blog/5-mw-solar-power-energy-plant-in-india-profit-cost-land-requirement/" TargetMode="External"/><Relationship Id="rId11" Type="http://schemas.openxmlformats.org/officeDocument/2006/relationships/fontTable" Target="fontTable.xml"/><Relationship Id="rId5" Type="http://schemas.openxmlformats.org/officeDocument/2006/relationships/hyperlink" Target="https://amplussolar.com/blogs/1mw-solar-power-plant"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3584</Words>
  <Characters>20430</Characters>
  <Application>Microsoft Office Word</Application>
  <DocSecurity>0</DocSecurity>
  <Lines>170</Lines>
  <Paragraphs>47</Paragraphs>
  <ScaleCrop>false</ScaleCrop>
  <Company/>
  <LinksUpToDate>false</LinksUpToDate>
  <CharactersWithSpaces>23967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Kumar</dc:creator>
  <cp:keywords/>
  <dc:description/>
  <cp:lastModifiedBy>Gaurav Kumar</cp:lastModifiedBy>
  <cp:revision>3</cp:revision>
  <dcterms:created xsi:type="dcterms:W3CDTF">2025-03-03T07:32:00Z</dcterms:created>
  <dcterms:modified xsi:type="dcterms:W3CDTF">2025-03-03T09:51:00Z</dcterms:modified>
</cp:coreProperties>
</file>